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2020-08-04 17:51:27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Nº:CMM1256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