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2020-12-17 15:14:02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504.49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504.49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6.47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504.49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504.49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7.38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504.49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-999.83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502.35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228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