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2021-01-22 08:19:35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-1.64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22.66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0.56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2.43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-1.52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22.84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-2.20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24.30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-1.93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23.12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-1.03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23.84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28.43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0.82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3.04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27.25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-0.61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30.43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27.07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1.17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26.95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-1001.71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1.53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-1001.68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1.48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2.53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-1004.21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1.53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-1001.38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1.67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2.83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-1001.12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1.54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3.09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-1000.76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2.11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2.23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-1001.05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2.14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1.94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-1002.99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-1000.12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2.15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2.87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-1000.42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2.57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251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