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2021-03-05 10:37:25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80.50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1772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