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2021-04-19 14:08:03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77.30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1918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