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2021-05-24 07:14:55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21.38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-2.44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36.99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929.10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361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