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2021-06-14 11:38:23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MULTIX B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1217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44.00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60301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