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  <w:color w:val="76923C" w:themeColor="accent3" w:themeShade="BF"/>
                <w:lang w:val="en-GB"/>
              </w:rPr>
              <w:t>companyName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}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  <w:color w:val="76923C" w:themeColor="accent3" w:themeShade="BF"/>
                <w:lang w:val="en-GB"/>
              </w:rPr>
              <w:t>customerCpfCnpj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}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  <w:color w:val="76923C" w:themeColor="accent3" w:themeShade="BF"/>
                <w:lang w:val="en-GB"/>
              </w:rPr>
              <w:t>customerName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}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  <w:color w:val="76923C" w:themeColor="accent3" w:themeShade="BF"/>
                <w:lang w:val="en-GB"/>
              </w:rPr>
              <w:t>customerAddress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}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  <w:color w:val="76923C" w:themeColor="accent3" w:themeShade="BF"/>
                <w:lang w:val="en-GB"/>
              </w:rPr>
              <w:t>customerAddressNumber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}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  <w:color w:val="76923C" w:themeColor="accent3" w:themeShade="BF"/>
                <w:lang w:val="en-GB"/>
              </w:rPr>
              <w:t>customerAddressAdjunct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}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  <w:color w:val="76923C" w:themeColor="accent3" w:themeShade="BF"/>
                <w:lang w:val="en-GB"/>
              </w:rPr>
              <w:t>customerAddressDistrict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}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  <w:color w:val="76923C" w:themeColor="accent3" w:themeShade="BF"/>
              </w:rPr>
              <w:t>integrationCityName},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  <w:color w:val="76923C" w:themeColor="accent3" w:themeShade="BF"/>
              </w:rPr>
              <w:t>customerCEP}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</w:rPr>
              <w:t>marca</w:t>
            </w:r>
            <w:r>
              <w:rPr>
                <w:rFonts w:ascii="Calibri" w:hAnsi="Calibri" w:cs="Calibri"/>
                <w:b/>
                <w:bCs/>
                <w:lang w:val="en-GB"/>
              </w:rPr>
              <w:t>}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</w:rPr>
              <w:t>modelo</w:t>
            </w:r>
            <w:r>
              <w:rPr>
                <w:rFonts w:ascii="Calibri" w:hAnsi="Calibri" w:cs="Calibri"/>
                <w:b/>
                <w:bCs/>
                <w:lang w:val="en-GB"/>
              </w:rPr>
              <w:t>}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</w:rPr>
              <w:t>sn</w:t>
            </w:r>
            <w:r>
              <w:rPr>
                <w:rFonts w:ascii="Calibri" w:hAnsi="Calibri" w:cs="Calibri"/>
                <w:b/>
                <w:bCs/>
                <w:lang w:val="en-GB"/>
              </w:rPr>
              <w:t>}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${</w:t>
            </w:r>
            <w:r>
              <w:rPr>
                <w:rFonts w:hint="default" w:ascii="Calibri" w:hAnsi="Calibri" w:cs="Calibri"/>
                <w:b/>
                <w:bCs/>
              </w:rPr>
              <w:t>patrimonio</w:t>
            </w:r>
            <w:r>
              <w:rPr>
                <w:rFonts w:ascii="Calibri" w:hAnsi="Calibri" w:cs="Calibri"/>
                <w:b/>
                <w:bCs/>
                <w:lang w:val="en-GB"/>
              </w:rPr>
              <w:t>}</w:t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com o fantoma equivalente ao adotado pelo ACR que é propriedade do contratante.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 DIÁRIO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Periodicidade: Teste de aceitação, diário e após reparos.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Tolerância: Fibra ≤ 0,75 mm; Microcalcificação ≤ 0,32 mm; Massa ≤ 0,75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Nível de Suspensão: Não cumprir um dos requistos.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Resolução Normativa Nº002/DIVS/SES de 18/05/2015, Tabela 2.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</w:t>
            </w: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kvp</w:t>
            </w: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}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${mas}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Fantoma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Massa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Fibra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 w:eastAsiaTheme="majorEastAsia" w:cstheme="majorBidi"/>
                <w:b/>
                <w:bCs/>
                <w:color w:val="89898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 [Qnt,]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${fantoma}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</w:t>
            </w: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massa</w:t>
            </w: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}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</w:t>
            </w: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fibra</w:t>
            </w: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}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${micro}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540" w:type="dxa"/>
            <w:gridSpan w:val="3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${resultado}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validade do relatório é de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1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DIA</w:t>
      </w:r>
      <w:bookmarkStart w:id="0" w:name="_GoBack"/>
      <w:bookmarkEnd w:id="0"/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 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                             REL Nº:${id}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Data:${</w:t>
                </w:r>
                <w:r>
                  <w:rPr>
                    <w:rFonts w:hint="default" w:ascii="Roboto Light" w:hAnsi="Roboto Light"/>
                    <w:b w:val="0"/>
                    <w:bCs/>
                    <w:sz w:val="18"/>
                    <w:szCs w:val="18"/>
                  </w:rPr>
                  <w:t>created_at</w:t>
                </w: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}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0173">
    <w:nsid w:val="5C6A250D"/>
    <w:multiLevelType w:val="singleLevel"/>
    <w:tmpl w:val="5C6A250D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0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34EBAA02"/>
    <w:rsid w:val="3FC7EC92"/>
    <w:rsid w:val="5DF5DE06"/>
    <w:rsid w:val="5DFE3CFF"/>
    <w:rsid w:val="5EFF3DFD"/>
    <w:rsid w:val="77714E18"/>
    <w:rsid w:val="7D5EBE55"/>
    <w:rsid w:val="9FF79AFF"/>
    <w:rsid w:val="D4F70E01"/>
    <w:rsid w:val="F7F9C85F"/>
    <w:rsid w:val="FBDFFE72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2019-01-09T08:53:00Z</dcterms:created>
  <dc:creator>Utilizador do Windows</dc:creator>
  <cp:lastModifiedBy>administrador</cp:lastModifiedBy>
  <cp:lastPrinted>2018-08-29T23:17:00Z</cp:lastPrinted>
  <dcterms:modified xsi:type="dcterms:W3CDTF">2019-02-18T00:19:02Z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