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color w:val="1A3B5C"/>
          <w:sz w:val="48"/>
          <w:szCs w:val="48"/>
        </w:rPr>
        <w:t xml:space="preserve">ZENODO — METADATA PARA SUBIDA</w:t>
      </w:r>
    </w:p>
    <w:p>
      <w:pPr>
        <w:spacing w:after="200" w:before="0"/>
        <w:jc w:val="center"/>
      </w:pPr>
      <w:r>
        <w:rPr>
          <w:rFonts w:ascii="Arial" w:cs="Arial" w:eastAsia="Arial" w:hAnsi="Arial"/>
          <w:color w:val="555555"/>
          <w:sz w:val="22"/>
          <w:szCs w:val="22"/>
        </w:rPr>
        <w:t xml:space="preserve">Zoovet Travel Serie Técnica · 10 depósitos · 1 DOI por artículo · 3 PDFs (ES/EN/FR) por depósito</w:t>
      </w:r>
    </w:p>
    <w:p>
      <w:pPr>
        <w:spacing w:after="120" w:before="0"/>
        <w:jc w:val="center"/>
      </w:pPr>
      <w:r>
        <w:rPr>
          <w:rFonts w:ascii="Arial" w:cs="Arial" w:eastAsia="Arial" w:hAnsi="Arial"/>
          <w:b/>
          <w:bCs/>
          <w:color w:val="C0392B"/>
          <w:sz w:val="20"/>
          <w:szCs w:val="20"/>
        </w:rPr>
        <w:t xml:space="preserve">INSTRUCCIÓN: Para cada vol → (1) Click 'Reserve DOI' → (2) copiar el DOI → (3) incrustarlo en los PDFs → (4) resubir PDFs → (5) Publish</w:t>
      </w:r>
    </w:p>
    <w:p>
      <w:pPr>
        <w:spacing w:after="400" w:before="0"/>
        <w:jc w:val="center"/>
      </w:pPr>
      <w:r>
        <w:rPr>
          <w:rFonts w:ascii="Arial" w:cs="Arial" w:eastAsia="Arial" w:hAnsi="Arial"/>
          <w:color w:val="777777"/>
          <w:sz w:val="18"/>
          <w:szCs w:val="18"/>
        </w:rPr>
        <w:t xml:space="preserve">Community: Zoovet Travel Serie Técnica  |  Series: Rabies in International Pet Travel  |  Publisher: Zoovet Travel</w:t>
      </w:r>
    </w:p>
    <w:p>
      <w:pPr>
        <w:pageBreakBefore/>
        <w:spacing w:after="180" w:before="0"/>
      </w:pPr>
      <w:r>
        <w:rPr>
          <w:rFonts w:ascii="Arial" w:cs="Arial" w:eastAsia="Arial" w:hAnsi="Arial"/>
          <w:b/>
          <w:bCs/>
          <w:color w:val="1A3B5C"/>
          <w:sz w:val="32"/>
          <w:szCs w:val="32"/>
        </w:rPr>
        <w:t xml:space="preserve">DEPÓSITO ZENODO — Zoovet Travel Serie Técnica · Vol. I</w:t>
      </w:r>
    </w:p>
    <w:p>
      <w:pPr>
        <w:spacing w:after="80" w:before="0"/>
      </w:pPr>
      <w:r>
        <w:rPr>
          <w:rFonts w:ascii="Arial" w:cs="Arial" w:eastAsia="Arial" w:hAnsi="Arial"/>
          <w:b/>
          <w:bCs/>
          <w:color w:val="C0392B"/>
          <w:sz w:val="20"/>
          <w:szCs w:val="20"/>
        </w:rPr>
        <w:t xml:space="preserve">⚑ Reservar DOI antes de publicar</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Immunological and Regulatory Basis of the 30-Day Post-Primary Rabies Vaccination Interval Prior to Serology Sampling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Serología antirrábica y ventana de 30 días tras primovacunación: fundamento inmunológico y regulatorio para viajes internacionales de mascotas
Titre alternatif (FR): Titrage des anticorps antirabiques et fenêtre de 30 jours post-primovaccination — Base immunologique et réglementaire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rabies serology, RFFIT, FAVN, 30-day window, primary vaccination, international travel, pets, serología antirrábica, ventana 30 días, sérologie antirabique, fenêtre 30 jours, primovaccination</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Analizar el fundamento inmunológico y regulatorio de la ventana de 30 días entre primovacunación antirrábica y la realización de pruebas de neutralización viral en perros y gatos destinados a viaje internacional. Método. Revisión técnica de la cinética de anticuerpos neutralizantes del virus rábico (rVNA), los protocolos RFFIT y FAVN, y la normativa de los principales destinos internacionales. Resultados. La ventana de 30 días corresponde al periodo mínimo para que la respuesta humoral primaria alcance el umbral de 0,5 UI/mL exigido por OIE/USDA. Su incumplimiento invalida la serología independientemente del título obtenido. Conclusión. El respeto estricto de esta ventana temporal es determinante para la validez documental del expediente de exportación y la admisión del animal en destino.</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analyze the immunological and regulatory basis of the 30-day interval between primary rabies vaccination and virus-neutralizing antibody testing in dogs and cats intended for international travel. Method. Technical review of rabies virus-neutralizing antibody (rVNA) kinetics, RFFIT and FAVN protocols, and the regulatory frameworks of major destination countries. Results. The 30-day window corresponds to the minimum period for the primary humoral response to reach the 0.5 IU/mL threshold required by OIE/USDA standards. Non-compliance invalidates the serology result regardless of the titre obtained. Conclusion. Strict adherence to this temporal window is decisive for the documentary validity of the export file and the animal's admission at destination.</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Analyser le fondement immunologique et réglementaire de la fenêtre de 30 jours entre la primovaccination antirabique et la réalisation des tests de neutralisation virale chez le chien et le chat destinés au voyage international. Méthode. Revue technique de la cinétique des anticorps neutralisant le virus rabique (rVNA), des protocoles RFFIT et FAVN, et de la réglementation des principales destinations internationales. Résultats. La fenêtre de 30 jours correspond à la période minimale pour que la réponse humorale primaire atteigne le seuil de 0,5 UI/mL exigé par l'OIE/USDA. Son non-respect invalide la sérologie indépendamment du titre obtenu. Conclusion. Le respect strict de cette fenêtre temporelle est déterminant pour la validité documentaire du dossier d'exportation et l'admission de l'animal à destination.</w:t>
            </w:r>
          </w:p>
        </w:tc>
      </w:tr>
    </w:tbl>
    <w:p>
      <w:pPr>
        <w:pageBreakBefore/>
        <w:spacing w:after="180" w:before="0"/>
      </w:pPr>
      <w:r>
        <w:rPr>
          <w:rFonts w:ascii="Arial" w:cs="Arial" w:eastAsia="Arial" w:hAnsi="Arial"/>
          <w:b/>
          <w:bCs/>
          <w:color w:val="1A3B5C"/>
          <w:sz w:val="32"/>
          <w:szCs w:val="32"/>
        </w:rPr>
        <w:t xml:space="preserve">DEPÓSITO ZENODO — Zoovet Travel Serie Técnica · Vol. II</w:t>
      </w:r>
    </w:p>
    <w:p>
      <w:pPr>
        <w:spacing w:after="80" w:before="0"/>
      </w:pPr>
      <w:r>
        <w:rPr>
          <w:rFonts w:ascii="Arial" w:cs="Arial" w:eastAsia="Arial" w:hAnsi="Arial"/>
          <w:b/>
          <w:bCs/>
          <w:color w:val="C0392B"/>
          <w:sz w:val="20"/>
          <w:szCs w:val="20"/>
        </w:rPr>
        <w:t xml:space="preserve">⚑ ⚠ Ya tiene DOI publicado: 10.5281/zenodo.19243496 — verificar si necesita nueva versión</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Technical Description of the Humoral Immune Response Following Rabies Vaccination and Methodological Basis of Virus Neutralization Tests (RFFIT and FAVN) in Companion Animals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Descripción Técnica de la Respuesta Humoral Post-Vacunación Antirrábica y Fundamentos Metodológicos de las Pruebas de Neutralización Viral (RFFIT y FAVN) en Pequeños Animales
Titre alternatif (FR): Description technique de la réponse immune humorale post-vaccination antirabique et bases méthodologiques des épreuves de neutralisation virale (RFFIT et FAVN) chez les animaux de compagnie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
Camacho Paz, Victor Jesus (ORCID: (sin ORCID)) — GERESA La Libertad / MINSA,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 | GERESA La Libertad / MINSA,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humoral immune response, RFFIT, FAVN, rabies IgG, rVNA, 0.5 IU/mL, BSL-2, accredited laboratory, respuesta humoral, laboratorio acreditado, réponse humorale, laboratoire accrédité</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Describir el mecanismo de la respuesta inmune humoral post-vacunación antirrábica y los fundamentos metodológicos de las pruebas de neutralización viral RFFIT y FAVN en pequeños animales. Método. Revisión de la inmunología de la vacunación antirrábica, la activación de linfocitos B, la producción de IgG específica, y los protocolos estandarizados de ambas técnicas serológicas. Resultados. RFFIT y FAVN son funcionalmente equivalentes pero difieren en bioseguridad, acceso y coste: RFFIT requiere virus vivo en BSL-2/3; FAVN utiliza cepa fija en condiciones más controlables. El umbral protector de 0,5 UI/mL es aplicable a ambas pruebas. Conclusión. La elección entre RFFIT y FAVN depende del laboratorio acreditado disponible en el país de origen; la interpretación clínica y regulatoria es idéntica para ambas.</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describe the humoral immune response mechanism following rabies vaccination and the methodological basis of RFFIT and FAVN virus-neutralizing antibody tests in small animals. Method. Review of rabies vaccination immunology, B-lymphocyte activation, specific IgG production, and the standardized protocols of both serological techniques. Results. RFFIT and FAVN are functionally equivalent but differ in biosafety requirements, accessibility and cost: RFFIT requires live virus at BSL-2/3; FAVN uses a fixed strain under more controlled conditions. The protective threshold of 0.5 IU/mL applies to both tests. Conclusion. The choice between RFFIT and FAVN depends on the accredited laboratory available in the country of origin; clinical and regulatory interpretation is identical for both.</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Décrire le mécanisme de la réponse immune humorale post-vaccination antirabique et les fondements méthodologiques des tests de neutralisation virale RFFIT et FAVN chez les petits animaux. Méthode. Revue de l'immunologie de la vaccination antirabique, l'activation des lymphocytes B, la production d'IgG spécifiques, et les protocoles standardisés des deux techniques sérologiques. Résultats. RFFIT et FAVN sont fonctionnellement équivalents mais diffèrent en biosécurité, accessibilité et coût: RFFIT nécessite un virus vivant en BSL-2/3; FAVN utilise une souche fixe dans des conditions plus contrôlables. Le seuil protecteur de 0,5 UI/mL s'applique aux deux tests. Conclusion. Le choix entre RFFIT et FAVN dépend du laboratoire accrédité disponible dans le pays d'origine; l'interprétation clinique et réglementaire est identique pour les deux.</w:t>
            </w:r>
          </w:p>
        </w:tc>
      </w:tr>
    </w:tbl>
    <w:p>
      <w:pPr>
        <w:pageBreakBefore/>
        <w:spacing w:after="180" w:before="0"/>
      </w:pPr>
      <w:r>
        <w:rPr>
          <w:rFonts w:ascii="Arial" w:cs="Arial" w:eastAsia="Arial" w:hAnsi="Arial"/>
          <w:b/>
          <w:bCs/>
          <w:color w:val="1A3B5C"/>
          <w:sz w:val="32"/>
          <w:szCs w:val="32"/>
        </w:rPr>
        <w:t xml:space="preserve">DEPÓSITO ZENODO — Zoovet Travel Serie Técnica · Vol. IX</w:t>
      </w:r>
    </w:p>
    <w:p>
      <w:pPr>
        <w:spacing w:after="80" w:before="0"/>
      </w:pPr>
      <w:r>
        <w:rPr>
          <w:rFonts w:ascii="Arial" w:cs="Arial" w:eastAsia="Arial" w:hAnsi="Arial"/>
          <w:b/>
          <w:bCs/>
          <w:color w:val="C0392B"/>
          <w:sz w:val="20"/>
          <w:szCs w:val="20"/>
        </w:rPr>
        <w:t xml:space="preserve">⚑ Reservar DOI antes de publicar</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Vaccination Certificates in Dogs and Cats: Immunological Basis, Health Validity and International Regulatory Framework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Certificados de vacunación en perros y gatos: fundamento inmunológico, validez sanitaria y marco regulatorio internacional
Titre alternatif (FR): Certificats de vaccination chez le chien et le chat : fondement immunologique, validité sanitaire et cadre réglementaire international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vaccination certificate, rabies, ISO microchip, primary schedule, traceability, pet export, document validity, certificado de vacunación, microchip ISO, trazabilidad, certificat de vaccination, traçabilité</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Analizar el fundamento inmunológico de los certificados de vacunación antirrábica en perros y gatos, su validez sanitaria internacional y los criterios que determinan su aceptación o rechazo en frontera. Método. Revisión de los marcos regulatorios de los principales destinos internacionales, los protocolos de vacunación primaria y refuerzo, y los requisitos de identificación y trazabilidad. Resultados. La validez del certificado no depende únicamente de la fecha de vacunación sino de la concordancia entre microchip, especie, producto vacunal aprobado, esquema primario completo y ventana temporal exigida por el país de destino. Un error en cualquiera de estos elementos invalida el documento. Conclusión. La gestión correcta del certificado de vacunación es el primer eslabón crítico del expediente de exportación de mascotas.</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analyze the immunological basis of rabies vaccination certificates for dogs and cats, their international health validity, and the criteria determining their acceptance or rejection at border control. Method. Review of regulatory frameworks from major destination countries, primary and booster vaccination protocols, and identification and traceability requirements. Results. Certificate validity depends not solely on the vaccination date but on the concordance between microchip, species, approved vaccine product, complete primary schedule, and the time window required by the destination country. Conclusion. Correct management of the vaccination certificate is the first critical link in the pet export file and determines the animal's admissibility regardless of its serological status.</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Analyser le fondement immunologique des certificats de vaccination antirabique chez le chien et le chat, leur validité sanitaire internationale et les critères déterminant leur acceptation ou rejet en frontière. Méthode. Revue des cadres réglementaires des principales destinations internationales, des protocoles de vaccination primaire et de rappel, et des exigences d'identification et de traçabilité. Résultats. La validité d'un certificat ne dépend pas uniquement de la date de vaccination, mais de la concordance entre puce électronique, espèce, produit vaccinal approuvé, schéma primaire complet et fenêtre temporelle exigée par le pays de destination. Conclusion. La gestion correcte du certificat de vaccination est le premier maillon critique du dossier d'exportation d'animaux de compagnie.</w:t>
            </w:r>
          </w:p>
        </w:tc>
      </w:tr>
    </w:tbl>
    <w:p>
      <w:pPr>
        <w:pageBreakBefore/>
        <w:spacing w:after="180" w:before="0"/>
      </w:pPr>
      <w:r>
        <w:rPr>
          <w:rFonts w:ascii="Arial" w:cs="Arial" w:eastAsia="Arial" w:hAnsi="Arial"/>
          <w:b/>
          <w:bCs/>
          <w:color w:val="1A3B5C"/>
          <w:sz w:val="32"/>
          <w:szCs w:val="32"/>
        </w:rPr>
        <w:t xml:space="preserve">DEPÓSITO ZENODO — Zoovet Travel Serie Técnica · Vol. X</w:t>
      </w:r>
    </w:p>
    <w:p>
      <w:pPr>
        <w:spacing w:after="80" w:before="0"/>
      </w:pPr>
      <w:r>
        <w:rPr>
          <w:rFonts w:ascii="Arial" w:cs="Arial" w:eastAsia="Arial" w:hAnsi="Arial"/>
          <w:b/>
          <w:bCs/>
          <w:color w:val="C0392B"/>
          <w:sz w:val="20"/>
          <w:szCs w:val="20"/>
        </w:rPr>
        <w:t xml:space="preserve">⚑ Reservar DOI antes de publicar</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 Health Certificate in International Movement of Dogs and Cats: Clinical Examination, Health Traceability and Document Validity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El certificado de salud en el movimiento internacional de perros y gatos: examen clínico, trazabilidad sanitaria y validez documental
Titre alternatif (FR): Le certificat de santé dans le déplacement international de chiens et chats : examen clinique, traçabilité sanitaire et validité documentaire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veterinary health certificate, clinical examination, health traceability, official endorsement, pet export, document validity, international movement, certificado de salud veterinario, trazabilidad sanitaria, certificat de santé vétérinaire</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Describir la naturaleza clínico-documental del certificado de salud veterinario en el movimiento internacional de perros y gatos, su fundamento sanitario, componentes de examen requeridos y causas frecuentes de invalidez. Resultados. El certificado de salud es una declaración técnica bajo responsabilidad profesional veterinaria. Su validez depende de la concordancia microchip-especie-fecha, la ventana temporal (generalmente 10 días), el tipo de emisor autorizado y el endoso oficial cuando es exigido. Los errores de trazabilidad son la causa más frecuente de rechazo en frontera. Conclusión. La distinción entre certificado veterinario y certificado oficialmente endosado es determinante para la planificación del expediente de exportación según el país de destino.</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describe the clinical-documentary nature of the veterinary health certificate in international movement of dogs and cats, its health basis, required examination components, and frequent causes of invalidity. Results. The health certificate is a technical declaration under professional veterinary responsibility. Its validity depends on microchip-species-date concordance, the time window (generally 10 days), the type of authorized issuer, and official endorsement when required. Traceability errors are the most frequent cause of border rejection. Conclusion. The distinction between a veterinary certificate and an officially endorsed certificate is decisive for export file planning according to the specific destination country.</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Décrire la nature clinico-documentaire du certificat de santé vétérinaire dans le déplacement international de chiens et chats, son fondement sanitaire, les composantes d'examen requises et les causes fréquentes d'invalidité. Résultats. Le certificat de santé est une déclaration technique sous responsabilité professionnelle vétérinaire. Sa validité dépend de la concordance puce-espèce-date, de la fenêtre temporelle (généralement 10 jours), du type d'émetteur autorisé et de l'endossement officiel lorsqu'il est exigé. Conclusion. La distinction entre certificat vétérinaire et certificat officiellement endossé est déterminante pour la planification du dossier d'exportation.</w:t>
            </w:r>
          </w:p>
        </w:tc>
      </w:tr>
    </w:tbl>
    <w:p>
      <w:pPr>
        <w:pageBreakBefore/>
        <w:spacing w:after="180" w:before="0"/>
      </w:pPr>
      <w:r>
        <w:rPr>
          <w:rFonts w:ascii="Arial" w:cs="Arial" w:eastAsia="Arial" w:hAnsi="Arial"/>
          <w:b/>
          <w:bCs/>
          <w:color w:val="1A3B5C"/>
          <w:sz w:val="32"/>
          <w:szCs w:val="32"/>
        </w:rPr>
        <w:t xml:space="preserve">DEPÓSITO ZENODO — Zoovet Travel Serie Técnica · Vol. XI</w:t>
      </w:r>
    </w:p>
    <w:p>
      <w:pPr>
        <w:spacing w:after="80" w:before="0"/>
      </w:pPr>
      <w:r>
        <w:rPr>
          <w:rFonts w:ascii="Arial" w:cs="Arial" w:eastAsia="Arial" w:hAnsi="Arial"/>
          <w:b/>
          <w:bCs/>
          <w:color w:val="C0392B"/>
          <w:sz w:val="20"/>
          <w:szCs w:val="20"/>
        </w:rPr>
        <w:t xml:space="preserve">⚑ Reservar DOI antes de publicar</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Quarantine in International Dog and Cat Importation: Epidemiological Basis, Regulatory Models and Critical Failure Points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Cuarentena en la Importación Internacional de Perros y Gatos: Fundamento Epidemiológico, Modelos Regulatorios y Puntos Críticos de Falla
Titre alternatif (FR): Quarantaine dans l'Importation Internationale de Chiens et Chats : Fondement Épidémiologique, Modèles Réglementaires et Points Critiques de Défaillance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veterinary quarantine, pet importation, DAFF Australia, MPI New Zealand, CDC, canine rabies, border biosecurity, export documentation, cuarentena veterinaria, importación mascotas, quarantaine vétérinaire, biosécurité frontalière</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Analizar el fundamento epidemiológico de la cuarentena en la importación internacional de perros y gatos, identificar los tres modelos regulatorios principales y describir las causas técnicas que la desencadenan o prolongan. Resultados. Se identifican tres modelos: A) cuarentena rutinaria obligatoria (Australia, Nueva Zelanda); B) cuarentena condicional por incumplimiento (UE, Reino Unido); C) sin cuarentena general pero con autoridad de retención (EE.UU.-CDC). Las causas más frecuentes incluyen microchip no concordante, desfase vacuna-serología y antiparasitarios fuera de ventana. Conclusión. La cuarentena es prevenible en la mayoría de casos mediante la gestión correcta del expediente documental y la verificación cronológica pre-embarque.</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analyze the epidemiological basis of quarantine in international dog and cat importation, identify the three main regulatory models, and describe the technical causes that trigger or prolong its application. Results. Three models are identified: A) routine mandatory quarantine (Australia, New Zealand); B) conditional quarantine for non-compliance (EU, UK); C) no general quarantine but with retention authority (USA-CDC). Most frequent triggers include non-matching microchip, vaccine-serology chronological mismatch, and antiparasitic treatments outside the time window. Conclusion. Quarantine is preventable in most cases through correct documentary file management and pre-embarkation chronological verification.</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Analyser le fondement épidémiologique de la quarantaine dans l'importation internationale de chiens et chats, identifier les trois modèles réglementaires principaux et décrire les causes techniques qui la déclenchent ou la prolongent. Résultats. Trois modèles sont identifiés: A) quarantaine systématique obligatoire (Australie, Nouvelle-Zélande); B) quarantaine conditionnelle pour non-conformité (UE, Royaume-Uni); C) pas de quarantaine générale mais autorité de rétention (États-Unis-CDC). Conclusion. La quarantaine est évitable dans la plupart des cas par une gestion correcte du dossier documentaire et une vérification chronologique avant embarquement.</w:t>
            </w:r>
          </w:p>
        </w:tc>
      </w:tr>
    </w:tbl>
    <w:p>
      <w:pPr>
        <w:pageBreakBefore/>
        <w:spacing w:after="180" w:before="0"/>
      </w:pPr>
      <w:r>
        <w:rPr>
          <w:rFonts w:ascii="Arial" w:cs="Arial" w:eastAsia="Arial" w:hAnsi="Arial"/>
          <w:b/>
          <w:bCs/>
          <w:color w:val="1A3B5C"/>
          <w:sz w:val="32"/>
          <w:szCs w:val="32"/>
        </w:rPr>
        <w:t xml:space="preserve">DEPÓSITO ZENODO — Zoovet Travel Serie Técnica · Vol. XIII</w:t>
      </w:r>
    </w:p>
    <w:p>
      <w:pPr>
        <w:spacing w:after="80" w:before="0"/>
      </w:pPr>
      <w:r>
        <w:rPr>
          <w:rFonts w:ascii="Arial" w:cs="Arial" w:eastAsia="Arial" w:hAnsi="Arial"/>
          <w:b/>
          <w:bCs/>
          <w:color w:val="C0392B"/>
          <w:sz w:val="20"/>
          <w:szCs w:val="20"/>
        </w:rPr>
        <w:t xml:space="preserve">⚑ Reservar DOI antes de publicar</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CDC and Dog Importation to the United States: Analysis of the 2024 Interim Final Rule and the DogBot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CDC e importación de perros a Estados Unidos: análisis de la regla provisional de 2024 y el sistema DogBot
Titre alternatif (FR): CDC et importation de chiens aux États-Unis : analyse de la règle provisoire de 2024 et du système DogBot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 dog importation, canine rabies, DogBot, RFFIT, high-risk countries, ACF, Peru, Latin America, importación de perros, rabia canina, importation chiens, rage canine, Amérique latine</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Analizar el marco regulatorio de la importación de perros a Estados Unidos establecido por la CDC Interim Final Rule de 2024, sus criterios de clasificación por país de origen y los requisitos diferenciales según el riesgo de rabia canina. Resultados. Los perros de países de alto riesgo —categoría que incluye a Perú— deben cumplir: microchip ISO, vacunación en EE.UU. o serie primaria completa con RFFIT/FAVN ≥0,5 UI/mL, e ingreso exclusivo por instalaciones CDC aprobadas (ACF) en ciertos casos. Conclusión. El sistema CDC de 2024 representa el marco de importación canina más complejo implementado por EE.UU., con consecuencias directas para los procesos de exportación desde América Latina.</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analyze the regulatory framework for dog importation to the United States established by the CDC 2024 Interim Final Rule, its country-of-origin classification criteria, and differential requirements based on canine rabies risk. Results. Dogs from high-risk countries — a category that includes Peru — must comply with: ISO microchip, US vaccination or complete primary series with RFFIT/FAVN ≥0.5 IU/mL, and in some cases entry exclusively through CDC-approved facilities (ACF). Conclusion. The 2024 CDC system represents the most complex canine importation framework implemented by the US, with direct consequences for export processes from Latin America.</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Analyser le cadre réglementaire de l'importation de chiens aux États-Unis établi par la CDC Interim Final Rule de 2024, ses critères de classification par pays d'origine et les exigences différentielles selon le risque de rage canine. Résultats. Les chiens de pays à haut risque — catégorie incluant le Pérou — doivent respecter: puce ISO, vaccination aux États-Unis ou série primaire complète avec RFFIT/FAVN ≥0,5 UI/mL, et dans certains cas une entrée exclusivement par des installations CDC approuvées (ACF). Conclusion. Le système CDC 2024 représente le cadre d'importation canine le plus complexe mis en œuvre par les États-Unis.</w:t>
            </w:r>
          </w:p>
        </w:tc>
      </w:tr>
    </w:tbl>
    <w:p>
      <w:pPr>
        <w:pageBreakBefore/>
        <w:spacing w:after="180" w:before="0"/>
      </w:pPr>
      <w:r>
        <w:rPr>
          <w:rFonts w:ascii="Arial" w:cs="Arial" w:eastAsia="Arial" w:hAnsi="Arial"/>
          <w:b/>
          <w:bCs/>
          <w:color w:val="1A3B5C"/>
          <w:sz w:val="32"/>
          <w:szCs w:val="32"/>
        </w:rPr>
        <w:t xml:space="preserve">DEPÓSITO ZENODO — Zoovet Travel Serie Técnica · Vol. XIV</w:t>
      </w:r>
    </w:p>
    <w:p>
      <w:pPr>
        <w:spacing w:after="80" w:before="0"/>
      </w:pPr>
      <w:r>
        <w:rPr>
          <w:rFonts w:ascii="Arial" w:cs="Arial" w:eastAsia="Arial" w:hAnsi="Arial"/>
          <w:b/>
          <w:bCs/>
          <w:color w:val="C0392B"/>
          <w:sz w:val="20"/>
          <w:szCs w:val="20"/>
        </w:rPr>
        <w:t xml:space="preserve">⚑ Reservar DOI antes de publicar — ⚠ Ya subiste los 3 PDFs a Zenodo (screenshot)</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APHA Post-Brexit and the Animal Health Certificate: Analysis of the New UK Pet Importation Regime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APHA post-Brexit y el Animal Health Certificate: análisis del nuevo régimen de importación de mascotas al Reino Unido
Titre alternatif (FR): APHA post-Brexit et l'Animal Health Certificate : analyse du nouveau régime d'importation d'animaux de compagnie au Royaume-Uni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APHA, Brexit, Animal Health Certificate, AHC, DEFRA, RFFIT, Part 1, UK pet importation, Peru, importación mascotas Reino Unido, importation animaux Royaume-Uni, Pérou</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Analizar el impacto del Brexit sobre el régimen de importación de mascotas al Reino Unido y los requisitos del Animal Health Certificate (AHC) para perros y gatos procedentes de países no clasificados en Part 1. Resultados. El Brexit eliminó la validez del pasaporte europeo para animales de compañía. Los perros de Perú deben cumplir el protocolo completo: microchip ISO, vacunación antirrábica, RFFIT/FAVN ≥0,5 UI/mL tras 30 días de espera, y tres meses adicionales post-serología (mínimo 4,5 meses de proceso). Conclusión. El AHC emitido por veterinario oficial es el documento central del proceso post-Brexit.</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analyze the impact of Brexit on the UK pet importation regime and the Animal Health Certificate (AHC) requirements for dogs and cats from countries not listed in Part 1. Results. Brexit eliminated the validity of the European pet passport. Dogs from Peru must comply with the full protocol: ISO microchip, rabies vaccination, RFFIT/FAVN ≥0.5 IU/mL after a 30-day wait, and three additional post-serology months (minimum 4.5-month process). Conclusion. The AHC issued by an official veterinarian is the central document of the post-Brexit process.</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Analyser l'impact du Brexit sur le régime d'importation d'animaux de compagnie au Royaume-Uni et les exigences de l'Animal Health Certificate (AHC) pour les chiens et chats provenant de pays non répertoriés en Part 1. Résultats. Le Brexit a éliminé la validité du passeport européen pour animaux de compagnie. Les chiens du Pérou doivent respecter le protocole complet: puce ISO, vaccination antirabique, RFFIT/FAVN ≥0,5 UI/mL après 30 jours d'attente, et trois mois supplémentaires post-sérologie (minimum 4,5 mois). Conclusion. L'AHC délivré par un vétérinaire officiel est le document central du processus post-Brexit.</w:t>
            </w:r>
          </w:p>
        </w:tc>
      </w:tr>
    </w:tbl>
    <w:p>
      <w:pPr>
        <w:pageBreakBefore/>
        <w:spacing w:after="180" w:before="0"/>
      </w:pPr>
      <w:r>
        <w:rPr>
          <w:rFonts w:ascii="Arial" w:cs="Arial" w:eastAsia="Arial" w:hAnsi="Arial"/>
          <w:b/>
          <w:bCs/>
          <w:color w:val="1A3B5C"/>
          <w:sz w:val="32"/>
          <w:szCs w:val="32"/>
        </w:rPr>
        <w:t xml:space="preserve">DEPÓSITO ZENODO — Zoovet Travel Serie Técnica · Vol. XV</w:t>
      </w:r>
    </w:p>
    <w:p>
      <w:pPr>
        <w:spacing w:after="80" w:before="0"/>
      </w:pPr>
      <w:r>
        <w:rPr>
          <w:rFonts w:ascii="Arial" w:cs="Arial" w:eastAsia="Arial" w:hAnsi="Arial"/>
          <w:b/>
          <w:bCs/>
          <w:color w:val="C0392B"/>
          <w:sz w:val="20"/>
          <w:szCs w:val="20"/>
        </w:rPr>
        <w:t xml:space="preserve">⚑ Reservar DOI antes de publicar</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MPI New Zealand: The World's Strictest Biosecurity System and Quarantine Requirements for Pets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MPI Nueva Zelanda: el sistema de bioseguridad más estricto del mundo y los requisitos de cuarentena para mascotas
Titre alternatif (FR): MPI Nouvelle-Zélande : le système de biosécurité le plus strict au monde et les exigences de quarantaine pour animaux de compagnie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MPI New Zealand, Import Health Standards, mandatory quarantine, biosecurity, RFFIT, pet importation, Peru, MPI Nueva Zelanda, cuarentena obligatoria, MPI Nouvelle-Zélande, quarantaine obligatoire</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Describir el sistema de bioseguridad del MPI de Nueva Zelanda para la importación de perros y gatos, sus protocolos de cuarentena obligatoria y los requisitos específicos aplicables a animales procedentes de Perú. Resultados. Nueva Zelanda aplica el sistema de cuarentena obligatoria más estricto del mundo para mascotas: 10 días en instalaciones MPI aprobadas para todos los perros y gatos. Los requisitos previos incluyen microchip ISO, vacunación antirrábica, serología ≥0,5 UI/mL y tratamiento antiparasitario certificado. Conclusión. El proceso tiene una duración mínima de 6 meses desde la vacunación primaria hasta la llegada al destino.</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describe the MPI New Zealand biosecurity system for dog and cat importation, its mandatory quarantine protocols, and the specific requirements applicable to animals from Peru. Results. New Zealand applies the world's strictest mandatory quarantine system for pets: 10 days at MPI-approved facilities for all dogs and cats regardless of country of origin. Prerequisites include ISO microchip, rabies vaccination, serology ≥0.5 IU/mL and certified antiparasitic treatment. Conclusion. The process has a minimum duration of 6 months from primary vaccination to arrival at destination.</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Décrire le système de biosécurité du MPI de Nouvelle-Zélande pour l'importation de chiens et chats, ses protocoles de quarantaine obligatoire et les exigences spécifiques applicables aux animaux en provenance du Pérou. Résultats. La Nouvelle-Zélande applique le système de quarantaine obligatoire le plus strict au monde pour les animaux de compagnie: 10 jours dans des installations MPI approuvées. Conclusion. Le processus a une durée minimale de 6 mois de la vaccination primaire à l'arrivée à destination.</w:t>
            </w:r>
          </w:p>
        </w:tc>
      </w:tr>
    </w:tbl>
    <w:p>
      <w:pPr>
        <w:pageBreakBefore/>
        <w:spacing w:after="180" w:before="0"/>
      </w:pPr>
      <w:r>
        <w:rPr>
          <w:rFonts w:ascii="Arial" w:cs="Arial" w:eastAsia="Arial" w:hAnsi="Arial"/>
          <w:b/>
          <w:bCs/>
          <w:color w:val="1A3B5C"/>
          <w:sz w:val="32"/>
          <w:szCs w:val="32"/>
        </w:rPr>
        <w:t xml:space="preserve">DEPÓSITO ZENODO — Zoovet Travel Serie Técnica · Vol. XVI</w:t>
      </w:r>
    </w:p>
    <w:p>
      <w:pPr>
        <w:spacing w:after="80" w:before="0"/>
      </w:pPr>
      <w:r>
        <w:rPr>
          <w:rFonts w:ascii="Arial" w:cs="Arial" w:eastAsia="Arial" w:hAnsi="Arial"/>
          <w:b/>
          <w:bCs/>
          <w:color w:val="C0392B"/>
          <w:sz w:val="20"/>
          <w:szCs w:val="20"/>
        </w:rPr>
        <w:t xml:space="preserve">⚑ Reservar DOI antes de publicar</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 Chile and Pet Importation from Peru: The Most Regulated Latin American Destination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SAG Chile y la importación de mascotas desde Perú: el destino latinoamericano más regulado
Titre alternatif (FR): SAG Chili et l'importation d'animaux de compagnie depuis le Pérou : la destination latino-américaine la plus réglementée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 Chile, pet importation Chile, export health certificate, SENASA, Tacna-Arica border, anti-parasitic, ISO microchip, importación mascotas Chile, frontera Tacna-Arica, importation animaux Chili, frontière Tacna-Arica</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Describir los requisitos técnicos del SAG para la importación de perros y gatos procedentes de Perú, en el contexto del estatus zoosanitario privilegiado de Chile (libre de rabia en fauna doméstica continental). Resultados. El proceso requiere microchip ISO 11784/11785, vacunación antirrábica vigente, tratamiento antiparasitario interno y externo dentro de los 10 días previos al ingreso, y certificado sanitario de exportación emitido y endosado por SENASA. Conclusión. La exportación Perú-Chile es el proceso más accesible de la región para propietarios, con planificación de 2-4 semanas si el animal tiene historial sanitario al día.</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describe SAG technical requirements for importing dogs and cats from Peru, in the context of Chile's privileged zoo-sanitary status (rabies-free in domestic continental fauna). Results. The process requires an ISO 11784/11785 microchip, current rabies vaccination, internal and external anti-parasitic treatment within 10 days before entry, and an export health certificate issued and endorsed by SENASA. Conclusion. The Peru-Chile export is the most accessible regional process for pet owners, requiring 2-4 weeks of planning if the animal has up-to-date health records.</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Décrire les exigences techniques du SAG pour l'importation de chiens et chats depuis le Pérou, dans le contexte du statut zoosanitaire privilégié du Chili (exempt de rage pour la faune domestique continentale). Résultats. Le processus requiert une micropuce ISO 11784/11785, une vaccination antirabique en cours de validité, un traitement antiparasitaire interne et externe dans les 10 jours précédant l'entrée, et un certificat sanitaire d'exportation émis et visé par la SENASA. Conclusion. L'exportation Pérou-Chili est le processus régional le plus accessible pour les propriétaires.</w:t>
            </w:r>
          </w:p>
        </w:tc>
      </w:tr>
    </w:tbl>
    <w:p>
      <w:pPr>
        <w:pageBreakBefore/>
        <w:spacing w:after="180" w:before="0"/>
      </w:pPr>
      <w:r>
        <w:rPr>
          <w:rFonts w:ascii="Arial" w:cs="Arial" w:eastAsia="Arial" w:hAnsi="Arial"/>
          <w:b/>
          <w:bCs/>
          <w:color w:val="1A3B5C"/>
          <w:sz w:val="32"/>
          <w:szCs w:val="32"/>
        </w:rPr>
        <w:t xml:space="preserve">DEPÓSITO ZENODO — Zoovet Travel Serie Técnica · Vol. XVII</w:t>
      </w:r>
    </w:p>
    <w:p>
      <w:pPr>
        <w:spacing w:after="80" w:before="0"/>
      </w:pPr>
      <w:r>
        <w:rPr>
          <w:rFonts w:ascii="Arial" w:cs="Arial" w:eastAsia="Arial" w:hAnsi="Arial"/>
          <w:b/>
          <w:bCs/>
          <w:color w:val="C0392B"/>
          <w:sz w:val="20"/>
          <w:szCs w:val="20"/>
        </w:rPr>
        <w:t xml:space="preserve">⚑ Reservar DOI antes de publicar</w:t>
      </w:r>
    </w:p>
    <w:p>
      <w:pPr>
        <w:spacing w:after="60" w:before="160"/>
      </w:pPr>
      <w:r>
        <w:rPr>
          <w:rFonts w:ascii="Arial" w:cs="Arial" w:eastAsia="Arial" w:hAnsi="Arial"/>
          <w:b/>
          <w:bCs/>
          <w:caps/>
          <w:color w:val="333333"/>
          <w:sz w:val="24"/>
          <w:szCs w:val="24"/>
        </w:rPr>
        <w:t xml:space="preserve">CAMPOS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Upload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 Technical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 principal (EN)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Regulation (EU) 576/2013: The European Framework for Non-Commercial Movement of Pet Animals — Technical Analysis from Peru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Títulos alternativos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Título alternativo (ES): Reglamento (UE) 576/2013: el marco europeo para el desplazamiento no comercial de animales de compañía — análisis técnico desde Perú
Titre alternatif (FR): Règlement (UE) 576/2013 : le cadre européen pour le mouvement non commercial d'animaux de compagnie — Analyse technique depuis le Pérou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Camacho Garcia, Jessica Ysabel (ORCID: 0009-0002-6837-5311) — 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Afiliación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Zoovet Travel, Trujillo, Perú</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publicación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2025-01-01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Commons Attribution 4.0 International (CC BY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 English · Français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Keywords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Regulation 576/2013, non-commercial movement, European pet passport, Part 1, Part 2, RFFIT, EU pet importation, Peru, Reglamento UE 576/2013, movimiento no comercial, Règlement UE 576/2013, mouvement non commercial</w:t>
            </w:r>
          </w:p>
        </w:tc>
      </w:tr>
    </w:tbl>
    <w:p>
      <w:pPr>
        <w:spacing w:after="60" w:before="200"/>
      </w:pPr>
      <w:r>
        <w:rPr>
          <w:rFonts w:ascii="Arial" w:cs="Arial" w:eastAsia="Arial" w:hAnsi="Arial"/>
          <w:b/>
          <w:bCs/>
          <w:caps/>
          <w:color w:val="333333"/>
          <w:sz w:val="24"/>
          <w:szCs w:val="24"/>
        </w:rPr>
        <w:t xml:space="preserve">DESCRIPCIÓN / ABSTRACT (pegar en campo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b/>
                <w:bCs/>
                <w:sz w:val="19"/>
                <w:szCs w:val="19"/>
              </w:rPr>
              <w:t xml:space="preserve">[ES] </w:t>
            </w:r>
            <w:r>
              <w:rPr>
                <w:rFonts w:ascii="Arial" w:cs="Arial" w:eastAsia="Arial" w:hAnsi="Arial"/>
                <w:sz w:val="19"/>
                <w:szCs w:val="19"/>
              </w:rPr>
              <w:t xml:space="preserve">Objetivo. Analizar el Reglamento (UE) 576/2013 como marco jurídico europeo para el movimiento no comercial de perros, gatos y hurones entre Estados miembros y desde terceros países, sus categorías de países de origen y los requisitos diferenciales aplicables. Resultados. El Reglamento establece tres categorías con requisitos progresivos: Part 1 (equivalencia reconocida), Part 2 (requisitos reforzados con serología) y países no listados (máximos requisitos con cuarentena potencial). Perú se clasifica en la categoría más exigente: microchip ISO, vacunación primaria completa, RFFIT/FAVN ≥0,5 UI/mL y tres meses de espera post-serológica. Conclusión. Las listas de países son dinámicas; se requiere verificación actualizada de los anexos regulatorios antes de cada exportación.</w:t>
            </w:r>
          </w:p>
          <w:p>
            <w:r>
              <w:rPr>
                <w:sz w:val="12"/>
                <w:szCs w:val="12"/>
              </w:rPr>
              <w:t xml:space="preserve"> </w:t>
            </w:r>
          </w:p>
          <w:p>
            <w:r>
              <w:rPr>
                <w:rFonts w:ascii="Arial" w:cs="Arial" w:eastAsia="Arial" w:hAnsi="Arial"/>
                <w:b/>
                <w:bCs/>
                <w:sz w:val="19"/>
                <w:szCs w:val="19"/>
              </w:rPr>
              <w:t xml:space="preserve">[EN] </w:t>
            </w:r>
            <w:r>
              <w:rPr>
                <w:rFonts w:ascii="Arial" w:cs="Arial" w:eastAsia="Arial" w:hAnsi="Arial"/>
                <w:sz w:val="19"/>
                <w:szCs w:val="19"/>
              </w:rPr>
              <w:t xml:space="preserve">Objective. To analyze Regulation (EU) 576/2013 as the European legal framework for non-commercial movement of dogs, cats and ferrets between Member States and from third countries, its country-of-origin categories, and applicable differential requirements. Results. The Regulation establishes three categories with progressive requirements: Part 1 (recognized equivalence), Part 2 (reinforced requirements with serology) and unlisted countries (maximum requirements with potential quarantine). Peru falls in the most demanding category: ISO microchip, complete primary rabies vaccination, RFFIT/FAVN ≥0.5 IU/mL and three-month post-serology waiting period. Conclusion. Country lists are dynamic; updated verification of regulatory annexes is required before each export.</w:t>
            </w:r>
          </w:p>
          <w:p>
            <w:r>
              <w:rPr>
                <w:sz w:val="12"/>
                <w:szCs w:val="12"/>
              </w:rPr>
              <w:t xml:space="preserve"> </w:t>
            </w:r>
          </w:p>
          <w:p>
            <w:r>
              <w:rPr>
                <w:rFonts w:ascii="Arial" w:cs="Arial" w:eastAsia="Arial" w:hAnsi="Arial"/>
                <w:b/>
                <w:bCs/>
                <w:sz w:val="19"/>
                <w:szCs w:val="19"/>
              </w:rPr>
              <w:t xml:space="preserve">[FR] </w:t>
            </w:r>
            <w:r>
              <w:rPr>
                <w:rFonts w:ascii="Arial" w:cs="Arial" w:eastAsia="Arial" w:hAnsi="Arial"/>
                <w:sz w:val="19"/>
                <w:szCs w:val="19"/>
              </w:rPr>
              <w:t xml:space="preserve">Objectif. Analyser le Règlement (UE) 576/2013 comme cadre juridique européen pour le mouvement non commercial de chiens, chats et furets entre États membres et depuis des pays tiers, ses catégories de pays d'origine et les exigences différentielles applicables. Résultats. Le Règlement établit trois catégories avec des exigences progressives: Part 1 (équivalence reconnue), Part 2 (exigences renforcées avec sérologie) et pays non répertoriés (exigences maximales avec quarantaine potentielle). Le Pérou se classe dans la catégorie la plus exigeante. Conclusion. Les listes de pays sont dynamiques; une vérification actualisée des annexes réglementaires est requise avant chaque exportation.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2026-05-15T09:48:30.789Z</dcterms:created>
  <dcterms:modified xsi:type="dcterms:W3CDTF">2026-05-15T09:48:30.790Z</dcterms:modified>
</cp:coreProperties>
</file>

<file path=docProps/custom.xml><?xml version="1.0" encoding="utf-8"?>
<Properties xmlns="http://schemas.openxmlformats.org/officeDocument/2006/custom-properties" xmlns:vt="http://schemas.openxmlformats.org/officeDocument/2006/docPropsVTypes"/>
</file>