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left"/>
      </w:pPr>
      <w:r>
        <w:rPr>
          <w:rFonts w:ascii="Arial" w:cs="Arial" w:eastAsia="Arial" w:hAnsi="Arial"/>
          <w:b w:val="false"/>
          <w:bCs w:val="false"/>
          <w:i/>
          <w:iCs/>
          <w:color w:val="666666"/>
          <w:sz w:val="20"/>
          <w:szCs w:val="20"/>
        </w:rPr>
        <w:t xml:space="preserve">Running head: ANTIBODY RECONVERSION IN WEIMARANER — ZOOVET TECHNICAL SERIES</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60" w:before="0" w:line="276"/>
        <w:jc w:val="center"/>
      </w:pPr>
      <w:r>
        <w:rPr>
          <w:rFonts w:ascii="Times New Roman" w:cs="Times New Roman" w:eastAsia="Times New Roman" w:hAnsi="Times New Roman"/>
          <w:b/>
          <w:bCs/>
          <w:i w:val="false"/>
          <w:iCs w:val="false"/>
          <w:sz w:val="30"/>
          <w:szCs w:val="30"/>
        </w:rPr>
        <w:t xml:space="preserve">Reconversión Serológica Post-Protocolo D1/D15/D30 en Weimaraner con Fallo Primario FAVN:</w:t>
      </w:r>
    </w:p>
    <w:p>
      <w:pPr>
        <w:spacing w:after="80" w:before="0" w:line="276"/>
        <w:jc w:val="center"/>
      </w:pPr>
      <w:r>
        <w:rPr>
          <w:rFonts w:ascii="Times New Roman" w:cs="Times New Roman" w:eastAsia="Times New Roman" w:hAnsi="Times New Roman"/>
          <w:b/>
          <w:bCs/>
          <w:i w:val="false"/>
          <w:iCs w:val="false"/>
          <w:sz w:val="30"/>
          <w:szCs w:val="30"/>
        </w:rPr>
        <w:t xml:space="preserve">Reporte de Caso y Análisis Comparativo de Títulos de Anticuerpos Neutralizantes Rábicos</w:t>
      </w:r>
    </w:p>
    <w:p>
      <w:pPr>
        <w:spacing w:after="200" w:before="0" w:line="276"/>
        <w:jc w:val="center"/>
      </w:pPr>
      <w:r>
        <w:rPr>
          <w:rFonts w:ascii="Times New Roman" w:cs="Times New Roman" w:eastAsia="Times New Roman" w:hAnsi="Times New Roman"/>
          <w:b w:val="false"/>
          <w:bCs w:val="false"/>
          <w:i/>
          <w:iCs/>
          <w:sz w:val="24"/>
          <w:szCs w:val="24"/>
        </w:rPr>
        <w:t xml:space="preserve">(KSVDL, 2026)</w:t>
      </w:r>
    </w:p>
    <w:p>
      <w:pPr>
        <w:spacing w:after="60" w:before="0" w:line="276"/>
        <w:jc w:val="center"/>
      </w:pPr>
      <w:r>
        <w:rPr>
          <w:rFonts w:ascii="Times New Roman" w:cs="Times New Roman" w:eastAsia="Times New Roman" w:hAnsi="Times New Roman"/>
          <w:b/>
          <w:bCs/>
          <w:i/>
          <w:iCs/>
          <w:sz w:val="28"/>
          <w:szCs w:val="28"/>
        </w:rPr>
        <w:t xml:space="preserve">Rabies Antibody Reconversion Following D1/D15/D30 Protocol in a Weimaraner with Primary FAVN Failure:</w:t>
      </w:r>
    </w:p>
    <w:p>
      <w:pPr>
        <w:spacing w:after="80" w:before="0" w:line="276"/>
        <w:jc w:val="center"/>
      </w:pPr>
      <w:r>
        <w:rPr>
          <w:rFonts w:ascii="Times New Roman" w:cs="Times New Roman" w:eastAsia="Times New Roman" w:hAnsi="Times New Roman"/>
          <w:b/>
          <w:bCs/>
          <w:i/>
          <w:iCs/>
          <w:sz w:val="28"/>
          <w:szCs w:val="28"/>
        </w:rPr>
        <w:t xml:space="preserve">Case Report and Comparative Analysis of Rabies Virus-Neutralizing Antibody Titres</w:t>
      </w:r>
    </w:p>
    <w:p>
      <w:pPr>
        <w:spacing w:after="280" w:before="0" w:line="276"/>
        <w:jc w:val="center"/>
      </w:pPr>
      <w:r>
        <w:rPr>
          <w:rFonts w:ascii="Times New Roman" w:cs="Times New Roman" w:eastAsia="Times New Roman" w:hAnsi="Times New Roman"/>
          <w:b w:val="false"/>
          <w:bCs w:val="false"/>
          <w:i/>
          <w:iCs/>
          <w:sz w:val="24"/>
          <w:szCs w:val="24"/>
        </w:rPr>
        <w:t xml:space="preserve">(KSVDL, 2026)</w:t>
      </w:r>
    </w:p>
    <w:p>
      <w:pPr>
        <w:spacing w:after="80" w:before="0" w:line="276"/>
        <w:jc w:val="center"/>
      </w:pPr>
      <w:r>
        <w:rPr>
          <w:rFonts w:ascii="Times New Roman" w:cs="Times New Roman" w:eastAsia="Times New Roman" w:hAnsi="Times New Roman"/>
          <w:b/>
          <w:bCs/>
          <w:i w:val="false"/>
          <w:iCs w:val="false"/>
          <w:sz w:val="24"/>
          <w:szCs w:val="24"/>
        </w:rPr>
        <w:t xml:space="preserve">Jessica Ysabel Camacho García, MV¹</w:t>
      </w:r>
    </w:p>
    <w:p>
      <w:pPr>
        <w:spacing w:after="60" w:before="0" w:line="276"/>
        <w:jc w:val="center"/>
      </w:pPr>
      <w:r>
        <w:rPr>
          <w:rFonts w:ascii="Times New Roman" w:cs="Times New Roman" w:eastAsia="Times New Roman" w:hAnsi="Times New Roman"/>
          <w:b w:val="false"/>
          <w:bCs w:val="false"/>
          <w:i/>
          <w:iCs/>
          <w:sz w:val="22"/>
          <w:szCs w:val="22"/>
        </w:rPr>
        <w:t xml:space="preserve">¹ Veterinaria Zoovet Travel · Calle Cuba 241, Urb. El Recreo, Trujillo, La Libertad, Perú</w:t>
      </w:r>
    </w:p>
    <w:p>
      <w:pPr>
        <w:spacing w:after="60" w:before="0" w:line="276"/>
        <w:jc w:val="center"/>
      </w:pPr>
      <w:r>
        <w:rPr>
          <w:rFonts w:ascii="Times New Roman" w:cs="Times New Roman" w:eastAsia="Times New Roman" w:hAnsi="Times New Roman"/>
          <w:b w:val="false"/>
          <w:bCs w:val="false"/>
          <w:i w:val="false"/>
          <w:iCs w:val="false"/>
          <w:sz w:val="22"/>
          <w:szCs w:val="22"/>
        </w:rPr>
        <w:t xml:space="preserve">ORCID: 0009-0002-6837-5311  ·  CMVP 12434</w:t>
      </w:r>
    </w:p>
    <w:p>
      <w:pPr>
        <w:spacing w:after="60" w:before="0" w:line="276"/>
        <w:jc w:val="center"/>
      </w:pPr>
      <w:r>
        <w:rPr>
          <w:rFonts w:ascii="Times New Roman" w:cs="Times New Roman" w:eastAsia="Times New Roman" w:hAnsi="Times New Roman"/>
          <w:b w:val="false"/>
          <w:bCs w:val="false"/>
          <w:i w:val="false"/>
          <w:iCs w:val="false"/>
          <w:sz w:val="22"/>
          <w:szCs w:val="22"/>
        </w:rPr>
        <w:t xml:space="preserve">Correspondence: mv.jcamachog@zoovettravel.com</w:t>
      </w:r>
    </w:p>
    <w:p>
      <w:pPr>
        <w:spacing w:after="60" w:before="0" w:line="276"/>
        <w:jc w:val="center"/>
      </w:pPr>
      <w:r>
        <w:rPr>
          <w:rFonts w:ascii="Times New Roman" w:cs="Times New Roman" w:eastAsia="Times New Roman" w:hAnsi="Times New Roman"/>
          <w:b w:val="false"/>
          <w:bCs w:val="false"/>
          <w:i/>
          <w:iCs/>
          <w:color w:val="888888"/>
          <w:sz w:val="22"/>
          <w:szCs w:val="22"/>
        </w:rPr>
        <w:t xml:space="preserve">Date submitted: May 2026  ·  Status: Author preprint — not peer-reviewed</w:t>
      </w:r>
    </w:p>
    <w:p>
      <w:pPr>
        <w:spacing w:after="60" w:before="0" w:line="276"/>
        <w:jc w:val="center"/>
      </w:pPr>
      <w:r>
        <w:rPr>
          <w:rFonts w:ascii="Times New Roman" w:cs="Times New Roman" w:eastAsia="Times New Roman" w:hAnsi="Times New Roman"/>
          <w:sz w:val="22"/>
          <w:szCs w:val="22"/>
        </w:rPr>
        <w:t xml:space="preserve">Data repository: </w:t>
      </w:r>
      <w:r>
        <w:rPr>
          <w:rFonts w:ascii="Times New Roman" w:cs="Times New Roman" w:eastAsia="Times New Roman" w:hAnsi="Times New Roman"/>
          <w:i/>
          <w:iCs/>
          <w:sz w:val="22"/>
          <w:szCs w:val="22"/>
        </w:rPr>
        <w:t xml:space="preserve">https://zoovettravel.com/favn-data/index.json</w:t>
      </w:r>
    </w:p>
    <w:p>
      <w:pPr>
        <w:spacing w:after="60" w:before="0" w:line="276"/>
        <w:jc w:val="center"/>
      </w:pPr>
      <w:r>
        <w:rPr>
          <w:rFonts w:ascii="Times New Roman" w:cs="Times New Roman" w:eastAsia="Times New Roman" w:hAnsi="Times New Roman"/>
          <w:sz w:val="22"/>
          <w:szCs w:val="22"/>
        </w:rPr>
        <w:t xml:space="preserve">Dataset DOI: </w:t>
      </w:r>
      <w:r>
        <w:rPr>
          <w:rFonts w:ascii="Times New Roman" w:cs="Times New Roman" w:eastAsia="Times New Roman" w:hAnsi="Times New Roman"/>
          <w:sz w:val="22"/>
          <w:szCs w:val="22"/>
        </w:rPr>
        <w:t xml:space="preserve">https://doi.org/10.5281/zenodo.20311995</w:t>
      </w:r>
    </w:p>
    <w:p>
      <w:pPr>
        <w:spacing w:after="240" w:before="120" w:line="276"/>
        <w:jc w:val="both"/>
      </w:pPr>
      <w:r>
        <w:rPr>
          <w:rFonts w:ascii="Times New Roman" w:cs="Times New Roman" w:eastAsia="Times New Roman" w:hAnsi="Times New Roman"/>
          <w:b w:val="false"/>
          <w:bCs w:val="false"/>
          <w:i w:val="false"/>
          <w:iCs w:val="false"/>
          <w:sz w:val="24"/>
          <w:szCs w:val="24"/>
        </w:rPr>
        <w:t xml:space="preserve"/>
      </w:r>
    </w:p>
    <w:p>
      <w:pPr>
        <w:spacing w:after="120" w:before="0" w:line="276"/>
        <w:jc w:val="both"/>
      </w:pPr>
      <w:r>
        <w:br w:type="page"/>
      </w:r>
    </w:p>
    <w:p>
      <w:pPr>
        <w:pStyle w:val="Heading1"/>
        <w:spacing w:after="120" w:before="280" w:line="276"/>
        <w:jc w:val="left"/>
      </w:pPr>
      <w:r>
        <w:rPr>
          <w:rFonts w:ascii="Arial" w:cs="Arial" w:eastAsia="Arial" w:hAnsi="Arial"/>
          <w:b/>
          <w:bCs/>
          <w:i w:val="false"/>
          <w:iCs w:val="false"/>
          <w:sz w:val="28"/>
          <w:szCs w:val="28"/>
        </w:rPr>
        <w:t xml:space="preserve">Resumen</w:t>
      </w:r>
    </w:p>
    <w:p>
      <w:pPr>
        <w:spacing w:after="60" w:before="0" w:line="276"/>
        <w:jc w:val="both"/>
      </w:pPr>
      <w:r>
        <w:rPr>
          <w:rFonts w:ascii="Times New Roman" w:cs="Times New Roman" w:eastAsia="Times New Roman" w:hAnsi="Times New Roman"/>
          <w:b/>
          <w:bCs/>
          <w:i w:val="false"/>
          <w:iCs w:val="false"/>
          <w:sz w:val="24"/>
          <w:szCs w:val="24"/>
        </w:rPr>
        <w:t xml:space="preserve">Contexto: </w:t>
      </w:r>
      <w:r>
        <w:rPr>
          <w:rFonts w:ascii="Times New Roman" w:cs="Times New Roman" w:eastAsia="Times New Roman" w:hAnsi="Times New Roman"/>
          <w:b w:val="false"/>
          <w:bCs w:val="false"/>
          <w:i w:val="false"/>
          <w:iCs w:val="false"/>
          <w:sz w:val="24"/>
          <w:szCs w:val="24"/>
        </w:rPr>
        <w:t xml:space="preserve">La prueba FAVN (Fluorescent Antibody Virus Neutralization) constituye el estándar internacional para la verificación serológica del estado inmunitario antirrábico en mascotas en el contexto del movimiento internacional, con un umbral regulatorio de ≥ 0.50 UI/mL reconocido por la WOAH, la Unión Europea y los principales marcos normativos nacionales (Reglamento UE 576/2013; WOAH Capítulo 8.14). Los fallos primarios —resultados inferiores al umbral tras un esquema vacunal incompleto o sin respuesta anamnéstica adecuada— representan un desafío operativo y clínico documentado en la literatura y en bases de datos de laboratorio acreditados. </w:t>
      </w:r>
    </w:p>
    <w:p>
      <w:pPr>
        <w:spacing w:after="60" w:before="0" w:line="276"/>
        <w:jc w:val="both"/>
      </w:pPr>
      <w:r>
        <w:rPr>
          <w:rFonts w:ascii="Times New Roman" w:cs="Times New Roman" w:eastAsia="Times New Roman" w:hAnsi="Times New Roman"/>
          <w:b/>
          <w:bCs/>
          <w:i w:val="false"/>
          <w:iCs w:val="false"/>
          <w:sz w:val="24"/>
          <w:szCs w:val="24"/>
        </w:rPr>
        <w:t xml:space="preserve">Objetivo: </w:t>
      </w:r>
      <w:r>
        <w:rPr>
          <w:rFonts w:ascii="Times New Roman" w:cs="Times New Roman" w:eastAsia="Times New Roman" w:hAnsi="Times New Roman"/>
          <w:b w:val="false"/>
          <w:bCs w:val="false"/>
          <w:i w:val="false"/>
          <w:iCs w:val="false"/>
          <w:sz w:val="24"/>
          <w:szCs w:val="24"/>
        </w:rPr>
        <w:t xml:space="preserve">Describir un caso de fallo FAVN primario en un Weimaraner macho de 3 años y 9 meses, previamente vacunado con esquema no Zoovet en Suecia, con posterior reconversión exitosa mediante el protocolo Novibac Rabies D1/D15/D30 aplicado por Veterinaria Zoovet Travel (Trujillo, Perú), e incorporar el análisis comparativo de ambos reportes KSVDL en el marco del repositorio de datos FAVN de la institución. </w:t>
      </w:r>
    </w:p>
    <w:p>
      <w:pPr>
        <w:spacing w:after="60" w:before="0" w:line="276"/>
        <w:jc w:val="both"/>
      </w:pPr>
      <w:r>
        <w:rPr>
          <w:rFonts w:ascii="Times New Roman" w:cs="Times New Roman" w:eastAsia="Times New Roman" w:hAnsi="Times New Roman"/>
          <w:b/>
          <w:bCs/>
          <w:i w:val="false"/>
          <w:iCs w:val="false"/>
          <w:sz w:val="24"/>
          <w:szCs w:val="24"/>
        </w:rPr>
        <w:t xml:space="preserve">Caso: </w:t>
      </w:r>
      <w:r>
        <w:rPr>
          <w:rFonts w:ascii="Times New Roman" w:cs="Times New Roman" w:eastAsia="Times New Roman" w:hAnsi="Times New Roman"/>
          <w:b w:val="false"/>
          <w:bCs w:val="false"/>
          <w:i w:val="false"/>
          <w:iCs w:val="false"/>
          <w:sz w:val="24"/>
          <w:szCs w:val="24"/>
        </w:rPr>
        <w:t xml:space="preserve">Paciente: ATON, Weimaraner, macho, microchip 725093200213835. Reporte inicial KSVDL R26-013079 (4 de febrero de 2026): 0.22 UI/mL — FALLO. Vacunación previa: esquema desconocido en Suecia, vacuna de marca no identificada, sin registro de refuerzo. Protocolo aplicado: Novibac Rabies D1 (primovacuna ~5 de marzo de 2026), D15 (refuerzo ~19 de marzo de 2026), D30 (extracción ~4 de abril de 2026). Reporte KSVDL R26-030347 (4 de abril de 2026): ≥ 3.46 UI/mL — APROBADO. </w:t>
      </w:r>
    </w:p>
    <w:p>
      <w:pPr>
        <w:spacing w:after="60" w:before="0" w:line="276"/>
        <w:jc w:val="both"/>
      </w:pPr>
      <w:r>
        <w:rPr>
          <w:rFonts w:ascii="Times New Roman" w:cs="Times New Roman" w:eastAsia="Times New Roman" w:hAnsi="Times New Roman"/>
          <w:b/>
          <w:bCs/>
          <w:i w:val="false"/>
          <w:iCs w:val="false"/>
          <w:sz w:val="24"/>
          <w:szCs w:val="24"/>
        </w:rPr>
        <w:t xml:space="preserve">Resultados: </w:t>
      </w:r>
      <w:r>
        <w:rPr>
          <w:rFonts w:ascii="Times New Roman" w:cs="Times New Roman" w:eastAsia="Times New Roman" w:hAnsi="Times New Roman"/>
          <w:b w:val="false"/>
          <w:bCs w:val="false"/>
          <w:i w:val="false"/>
          <w:iCs w:val="false"/>
          <w:sz w:val="24"/>
          <w:szCs w:val="24"/>
        </w:rPr>
        <w:t xml:space="preserve">El título post-protocolo de ≥ 3.46 UI/mL representa un delta de 15.73× respecto al valor de fallo inicial y de 6.92× respecto al umbral regulatorio de la UE. El caso constituye, dentro del repositorio activo de 49 registros FAVN de Veterinaria Zoovet (2019–2026), el único par fallo/reconversión con protocolo documentado en su totalidad y el delta de reconversión más alto registrado en el dataset. </w:t>
      </w:r>
    </w:p>
    <w:p>
      <w:pPr>
        <w:spacing w:after="60" w:before="0" w:line="276"/>
        <w:jc w:val="both"/>
      </w:pPr>
      <w:r>
        <w:rPr>
          <w:rFonts w:ascii="Times New Roman" w:cs="Times New Roman" w:eastAsia="Times New Roman" w:hAnsi="Times New Roman"/>
          <w:b/>
          <w:bCs/>
          <w:i w:val="false"/>
          <w:iCs w:val="false"/>
          <w:sz w:val="24"/>
          <w:szCs w:val="24"/>
        </w:rPr>
        <w:t xml:space="preserve">Conclusión: </w:t>
      </w:r>
      <w:r>
        <w:rPr>
          <w:rFonts w:ascii="Times New Roman" w:cs="Times New Roman" w:eastAsia="Times New Roman" w:hAnsi="Times New Roman"/>
          <w:b w:val="false"/>
          <w:bCs w:val="false"/>
          <w:i w:val="false"/>
          <w:iCs w:val="false"/>
          <w:sz w:val="24"/>
          <w:szCs w:val="24"/>
        </w:rPr>
        <w:t xml:space="preserve">El protocolo D1/D15/D30 con Novibac Rabies demostró ser eficaz para revertir el fallo serológico primario en este caso. La documentación estructurada bajo Dublin Core de ambos reportes y su integración en el repositorio institucional facilitan la trazabilidad clínica y la contribución a bases de datos de acceso abierto para futuros estudios comparativos. </w:t>
      </w:r>
    </w:p>
    <w:p>
      <w:pPr>
        <w:spacing w:after="60" w:before="0" w:line="276"/>
        <w:jc w:val="both"/>
      </w:pPr>
      <w:r>
        <w:rPr>
          <w:rFonts w:ascii="Times New Roman" w:cs="Times New Roman" w:eastAsia="Times New Roman" w:hAnsi="Times New Roman"/>
          <w:b/>
          <w:bCs/>
          <w:i/>
          <w:iCs/>
          <w:sz w:val="24"/>
          <w:szCs w:val="24"/>
        </w:rPr>
        <w:t xml:space="preserve">Palabras clave: </w:t>
      </w:r>
      <w:r>
        <w:rPr>
          <w:rFonts w:ascii="Times New Roman" w:cs="Times New Roman" w:eastAsia="Times New Roman" w:hAnsi="Times New Roman"/>
          <w:b w:val="false"/>
          <w:bCs w:val="false"/>
          <w:i/>
          <w:iCs/>
          <w:sz w:val="24"/>
          <w:szCs w:val="24"/>
        </w:rPr>
        <w:t xml:space="preserve">FAVN; anticuerpos neutralizantes rábicos; fallo vacunal primario; reconversión serológica; Novibac Rabies; D1/D15/D30; KSVDL; Weimaraner; movimiento internacional de mascotas; Perú</w:t>
      </w:r>
    </w:p>
    <w:p>
      <w:pPr>
        <w:spacing w:after="0" w:before="0" w:line="276"/>
        <w:jc w:val="right"/>
      </w:pPr>
      <w:r>
        <w:rPr>
          <w:rFonts w:ascii="Times New Roman" w:cs="Times New Roman" w:eastAsia="Times New Roman" w:hAnsi="Times New Roman"/>
          <w:b w:val="false"/>
          <w:bCs w:val="false"/>
          <w:i/>
          <w:iCs/>
          <w:color w:val="888888"/>
          <w:sz w:val="20"/>
          <w:szCs w:val="20"/>
        </w:rPr>
        <w:t xml:space="preserve">Palabras: ~245</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pStyle w:val="Heading1"/>
        <w:spacing w:after="120" w:before="280" w:line="276"/>
        <w:jc w:val="left"/>
      </w:pPr>
      <w:r>
        <w:rPr>
          <w:rFonts w:ascii="Arial" w:cs="Arial" w:eastAsia="Arial" w:hAnsi="Arial"/>
          <w:b/>
          <w:bCs/>
          <w:i w:val="false"/>
          <w:iCs w:val="false"/>
          <w:sz w:val="28"/>
          <w:szCs w:val="28"/>
        </w:rPr>
        <w:t xml:space="preserve">Abstract</w:t>
      </w:r>
    </w:p>
    <w:p>
      <w:pPr>
        <w:spacing w:after="60" w:before="0" w:line="276"/>
        <w:jc w:val="both"/>
      </w:pPr>
      <w:r>
        <w:rPr>
          <w:rFonts w:ascii="Times New Roman" w:cs="Times New Roman" w:eastAsia="Times New Roman" w:hAnsi="Times New Roman"/>
          <w:b/>
          <w:bCs/>
          <w:i w:val="false"/>
          <w:iCs w:val="false"/>
          <w:sz w:val="24"/>
          <w:szCs w:val="24"/>
        </w:rPr>
        <w:t xml:space="preserve">Background: </w:t>
      </w:r>
      <w:r>
        <w:rPr>
          <w:rFonts w:ascii="Times New Roman" w:cs="Times New Roman" w:eastAsia="Times New Roman" w:hAnsi="Times New Roman"/>
          <w:b w:val="false"/>
          <w:bCs w:val="false"/>
          <w:i w:val="false"/>
          <w:iCs w:val="false"/>
          <w:sz w:val="24"/>
          <w:szCs w:val="24"/>
        </w:rPr>
        <w:t xml:space="preserve">The FAVN (Fluorescent Antibody Virus Neutralization) test is the internationally recognized standard for serological verification of rabies immune status in companion animals for international movement purposes, with a regulatory threshold of ≥ 0.50 IU/mL adopted by WOAH, the European Union, and major national import frameworks (EU Regulation 576/2013; WOAH Chapter 8.14). Primary FAVN failures — results below the threshold following an incomplete vaccination protocol or insufficient anamnestic response — are an operationally and clinically documented challenge reported in the literature and in accredited laboratory records. </w:t>
      </w:r>
    </w:p>
    <w:p>
      <w:pPr>
        <w:spacing w:after="60" w:before="0" w:line="276"/>
        <w:jc w:val="both"/>
      </w:pPr>
      <w:r>
        <w:rPr>
          <w:rFonts w:ascii="Times New Roman" w:cs="Times New Roman" w:eastAsia="Times New Roman" w:hAnsi="Times New Roman"/>
          <w:b/>
          <w:bCs/>
          <w:i w:val="false"/>
          <w:iCs w:val="false"/>
          <w:sz w:val="24"/>
          <w:szCs w:val="24"/>
        </w:rPr>
        <w:t xml:space="preserve">Objective: </w:t>
      </w:r>
      <w:r>
        <w:rPr>
          <w:rFonts w:ascii="Times New Roman" w:cs="Times New Roman" w:eastAsia="Times New Roman" w:hAnsi="Times New Roman"/>
          <w:b w:val="false"/>
          <w:bCs w:val="false"/>
          <w:i w:val="false"/>
          <w:iCs w:val="false"/>
          <w:sz w:val="24"/>
          <w:szCs w:val="24"/>
        </w:rPr>
        <w:t xml:space="preserve">To describe a case of primary FAVN failure in a 3-year-9-month male Weimaraner previously vaccinated under a non-Zoovet protocol in Sweden, with subsequent successful serological reconversion under the Novibac Rabies D1/D15/D30 protocol at Veterinaria Zoovet Travel (Trujillo, Peru), and to present a comparative analysis of both KSVDL reports within the institutional FAVN data repository. </w:t>
      </w:r>
    </w:p>
    <w:p>
      <w:pPr>
        <w:spacing w:after="60" w:before="0" w:line="276"/>
        <w:jc w:val="both"/>
      </w:pPr>
      <w:r>
        <w:rPr>
          <w:rFonts w:ascii="Times New Roman" w:cs="Times New Roman" w:eastAsia="Times New Roman" w:hAnsi="Times New Roman"/>
          <w:b/>
          <w:bCs/>
          <w:i w:val="false"/>
          <w:iCs w:val="false"/>
          <w:sz w:val="24"/>
          <w:szCs w:val="24"/>
        </w:rPr>
        <w:t xml:space="preserve">Case: </w:t>
      </w:r>
      <w:r>
        <w:rPr>
          <w:rFonts w:ascii="Times New Roman" w:cs="Times New Roman" w:eastAsia="Times New Roman" w:hAnsi="Times New Roman"/>
          <w:b w:val="false"/>
          <w:bCs w:val="false"/>
          <w:i w:val="false"/>
          <w:iCs w:val="false"/>
          <w:sz w:val="24"/>
          <w:szCs w:val="24"/>
        </w:rPr>
        <w:t xml:space="preserve">Patient: ATON, Weimaraner, male, microchip 725093200213835. Initial KSVDL report R26-013079 (February 4, 2026): 0.22 IU/mL — FAIL. Prior vaccination: unknown schedule administered in Sweden, unidentified vaccine brand, no documented booster. Protocol applied: Novibac Rabies D1 (primary vaccination ~March 5, 2026), D15 (booster ~March 19, 2026), D30 (blood extraction April 4, 2026). KSVDL report R26-030347 (April 4, 2026): ≥3.46 IU/mL — PASS. </w:t>
      </w:r>
    </w:p>
    <w:p>
      <w:pPr>
        <w:spacing w:after="60" w:before="0" w:line="276"/>
        <w:jc w:val="both"/>
      </w:pPr>
      <w:r>
        <w:rPr>
          <w:rFonts w:ascii="Times New Roman" w:cs="Times New Roman" w:eastAsia="Times New Roman" w:hAnsi="Times New Roman"/>
          <w:b/>
          <w:bCs/>
          <w:i w:val="false"/>
          <w:iCs w:val="false"/>
          <w:sz w:val="24"/>
          <w:szCs w:val="24"/>
        </w:rPr>
        <w:t xml:space="preserve">Results: </w:t>
      </w:r>
      <w:r>
        <w:rPr>
          <w:rFonts w:ascii="Times New Roman" w:cs="Times New Roman" w:eastAsia="Times New Roman" w:hAnsi="Times New Roman"/>
          <w:b w:val="false"/>
          <w:bCs w:val="false"/>
          <w:i w:val="false"/>
          <w:iCs w:val="false"/>
          <w:sz w:val="24"/>
          <w:szCs w:val="24"/>
        </w:rPr>
        <w:t xml:space="preserve">Post-protocol titre of ≥3.46 IU/mL represents a 15.73× delta above the initial FAIL value and a 6.92× delta above the EU regulatory threshold. Within the active repository of 49 FAVN records maintained by Veterinaria Zoovet (2019–2026), this case constitutes the only fully documented fail/reconversion pair and the highest reconversion delta on record. </w:t>
      </w:r>
    </w:p>
    <w:p>
      <w:pPr>
        <w:spacing w:after="60" w:before="0" w:line="276"/>
        <w:jc w:val="both"/>
      </w:pPr>
      <w:r>
        <w:rPr>
          <w:rFonts w:ascii="Times New Roman" w:cs="Times New Roman" w:eastAsia="Times New Roman" w:hAnsi="Times New Roman"/>
          <w:b/>
          <w:bCs/>
          <w:i w:val="false"/>
          <w:iCs w:val="false"/>
          <w:sz w:val="24"/>
          <w:szCs w:val="24"/>
        </w:rPr>
        <w:t xml:space="preserve">Conclusion: </w:t>
      </w:r>
      <w:r>
        <w:rPr>
          <w:rFonts w:ascii="Times New Roman" w:cs="Times New Roman" w:eastAsia="Times New Roman" w:hAnsi="Times New Roman"/>
          <w:b w:val="false"/>
          <w:bCs w:val="false"/>
          <w:i w:val="false"/>
          <w:iCs w:val="false"/>
          <w:sz w:val="24"/>
          <w:szCs w:val="24"/>
        </w:rPr>
        <w:t xml:space="preserve">The D1/D15/D30 Novibac Rabies protocol demonstrated efficacy in reversing primary serological failure in this case. Structured Dublin Core documentation of both KSVDL reports and their integration into the institutional repository support clinical traceability and contribution to open-access datasets for future comparative studies. </w:t>
      </w:r>
    </w:p>
    <w:p>
      <w:pPr>
        <w:spacing w:after="60" w:before="0" w:line="276"/>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b w:val="false"/>
          <w:bCs w:val="false"/>
          <w:i/>
          <w:iCs/>
          <w:sz w:val="24"/>
          <w:szCs w:val="24"/>
        </w:rPr>
        <w:t xml:space="preserve">FAVN; rabies virus-neutralizing antibodies; primary vaccine failure; serological reconversion; Novibac Rabies; D1/D15/D30; KSVDL; Weimaraner; international companion animal movement; Peru</w:t>
      </w:r>
    </w:p>
    <w:p>
      <w:pPr>
        <w:spacing w:after="0" w:before="0" w:line="276"/>
        <w:jc w:val="right"/>
      </w:pPr>
      <w:r>
        <w:rPr>
          <w:rFonts w:ascii="Times New Roman" w:cs="Times New Roman" w:eastAsia="Times New Roman" w:hAnsi="Times New Roman"/>
          <w:b w:val="false"/>
          <w:bCs w:val="false"/>
          <w:i/>
          <w:iCs/>
          <w:color w:val="888888"/>
          <w:sz w:val="20"/>
          <w:szCs w:val="20"/>
        </w:rPr>
        <w:t xml:space="preserve">Word count: ~243</w:t>
      </w:r>
    </w:p>
    <w:p>
      <w:pPr>
        <w:spacing w:after="120" w:before="0" w:line="276"/>
        <w:jc w:val="both"/>
      </w:pPr>
      <w:r>
        <w:br w:type="page"/>
      </w:r>
    </w:p>
    <w:p>
      <w:pPr>
        <w:pStyle w:val="Heading1"/>
        <w:spacing w:after="120" w:before="280" w:line="276"/>
        <w:jc w:val="left"/>
      </w:pPr>
      <w:r>
        <w:rPr>
          <w:rFonts w:ascii="Arial" w:cs="Arial" w:eastAsia="Arial" w:hAnsi="Arial"/>
          <w:b/>
          <w:bCs/>
          <w:i w:val="false"/>
          <w:iCs w:val="false"/>
          <w:sz w:val="28"/>
          <w:szCs w:val="28"/>
        </w:rPr>
        <w:t xml:space="preserve">1. Introducción / Introduction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rabia es una zoonosis de distribución mundial con una tasa de letalidad cercana al 100% una vez establecidos los signos clínicos (WHO, 2023). Su control en la interfaz humano-animal depende de la vacunación masiva de la población canina —principal reservorio y vector de transmisión a nivel global— y de la verificación serológica objetiva de dicha vacunación en el contexto del movimiento internacional de mascotas (Hampson et al., 2015).</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Las pruebas de neutralización viral (VNT) —RFFIT y FAVN— constituyen el estándar internacional para cuantificar los anticuerpos neutralizantes rábicos (rVNA). El umbral de ≥ 0.50 UI/mL es universalmente reconocido como correlato de protección aceptable por la WOAH (anteriormente OIE), la Unión Europea y los Estados Unidos (WOAH, 2023; Cliquet et al., 1998; CDC, 2024). La validez operativa de este umbral depende, sin embargo, del momento en que se extrae la muestra respecto a la vacunación y del esquema vacunal aplicado.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fallo FAVN primario —definido como un resultado inferior a 0.50 UI/mL tras una vacunación rábica sin respuesta anamnéstica adecuada— tiene causas documentadas que incluyen: primovacunación sin refuerzo, extracción prematura de muestra (&lt; 30 días post-vacunación), interferencia por hemólisis o lipemia, deficiencia inmunológica subyacente, y uso de vacunas con potencia insuficiente (McElhinney et al., 2026; Wallace et al., 2017; Camacho García, datos no publicados, 2026). Los esquemas vacunales sin refuerzo documentado son consistentemente la causa más frecuente de fallo reportada en laboratorios acreditados.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pertinencia de este reporte de caso se enmarca en tres contextos convergentes. Primero, la creciente prevalencia de perros importados sin titulación adecuada: Belanger et al. (2025) documentaron que aproximadamente el 48% de los perros importados presentaba títulos de rVNA inferiores a 0.50 UI/mL en el momento de la llegada al país de destino. Segundo, la escasez de datos estructurados de FAVN provenientes de América Latina: no existe, al momento de la redacción de este reporte, ningún otro repositorio público de resultados FAVN de un operador veterinario latinoamericano disponible en repositorios internacionales. Tercero, el valor clínico de documentar protocolos de reconversión exitosos con datos serológicos cuantitativos: el caso ATON representa el delta de reconversión más alto registrado en el repositorio activo de 49 casos de Veterinaria Zoovet (2019–2026).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presente reporte describe en detalle el caso de ATON —Weimaraner, macho, microchip 725093200213835— incluyendo el fallo FAVN primario (R26-013079, 0.22 UI/mL, KSVDL, 4 de febrero de 2026), el protocolo de reconversión D1/D15/D30 con Novibac Rabies aplicado por Veterinaria Zoovet Travel, y el resultado FAVN de confirmación (R26-030347, ≥3.46 UI/mL, KSVDL, 4 de abril de 2026). Ambos reportes han sido catalogados bajo los 15 elementos Dublin Core e integrados al repositorio institucional FAVN de acceso abierto (https://doi.org/10.5281/zenodo.20311995).</w:t>
      </w:r>
    </w:p>
    <w:p>
      <w:pPr>
        <w:pStyle w:val="Heading1"/>
        <w:spacing w:after="120" w:before="280" w:line="276"/>
        <w:jc w:val="left"/>
      </w:pPr>
      <w:r>
        <w:rPr>
          <w:rFonts w:ascii="Arial" w:cs="Arial" w:eastAsia="Arial" w:hAnsi="Arial"/>
          <w:b/>
          <w:bCs/>
          <w:i w:val="false"/>
          <w:iCs w:val="false"/>
          <w:sz w:val="28"/>
          <w:szCs w:val="28"/>
        </w:rPr>
        <w:t xml:space="preserve">2. Descripción del caso / Case Description</w:t>
      </w:r>
    </w:p>
    <w:p>
      <w:pPr>
        <w:spacing w:after="80" w:before="200" w:line="276"/>
        <w:jc w:val="left"/>
      </w:pPr>
      <w:r>
        <w:rPr>
          <w:rFonts w:ascii="Arial" w:cs="Arial" w:eastAsia="Arial" w:hAnsi="Arial"/>
          <w:b/>
          <w:bCs/>
          <w:i w:val="false"/>
          <w:iCs w:val="false"/>
          <w:sz w:val="24"/>
          <w:szCs w:val="24"/>
        </w:rPr>
        <w:t xml:space="preserve">2.1 Datos del paciente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ATON es un Weimaraner, macho entero, de 3 años y 9 meses al momento de la primera toma de muestra (febrero de 2026). Microchip ISO 11784/11785: 725093200213835. Propietario con residencia en Trujillo, Perú, con destino final Suecia (zona libre de rabia, Unión Europea). Sin antecedentes clínicos relevantes al momento de la consulta. Peso corporal y condición corporal dentro de parámetros normales (no registrado en KSVDL).</w:t>
      </w:r>
    </w:p>
    <w:p>
      <w:pPr>
        <w:spacing w:after="80" w:before="200" w:line="276"/>
        <w:jc w:val="left"/>
      </w:pPr>
      <w:r>
        <w:rPr>
          <w:rFonts w:ascii="Arial" w:cs="Arial" w:eastAsia="Arial" w:hAnsi="Arial"/>
          <w:b/>
          <w:bCs/>
          <w:i w:val="false"/>
          <w:iCs w:val="false"/>
          <w:sz w:val="24"/>
          <w:szCs w:val="24"/>
        </w:rPr>
        <w:t xml:space="preserve">2.2 Historia vacunal previa</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propietario reportó que ATON había recibido una vacunación antirrábica durante su stadía en Suecia, administrada por un veterinario ajeno a Veterinaria Zoovet Travel. Al momento de la consulta en Zoovet no se pudo verificar: (a) la marca comercial de la vacuna utilizada, (b) si se aplicó un esquema de una dosis o de dos dosis, (c) la fecha exacta de administración, ni (d) si existía registro del lote o certificado oficial de vacunación. Esta ausencia de documentación impedía determinar si el animal había recibido primovacunación con o sin refuerzo, y si el intervalo previo a la extracción de muestra cumplía con los requisitos mínimos regulatorios (≥ 30 días post-primovacunación; Camacho García, datos no publicados, 2026).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reporte KSVDL R26-013079 (4 de febrero de 2026) arrojó un resultado de 0.22 UI/mL, por debajo del umbral regulatorio de la UE de ≥ 0.50 UI/mL —equivalente al 44% del valor umbral mínimo requerido para autorización de viaje. Este resultado determinó la clasificación FAIL del caso y la derivación del animal a Veterinaria Zoovet Travel para la aplicación del protocolo de reconversión estandarizado.</w:t>
      </w:r>
    </w:p>
    <w:p>
      <w:pPr>
        <w:spacing w:after="80" w:before="200" w:line="276"/>
        <w:jc w:val="left"/>
      </w:pPr>
      <w:r>
        <w:rPr>
          <w:rFonts w:ascii="Arial" w:cs="Arial" w:eastAsia="Arial" w:hAnsi="Arial"/>
          <w:b/>
          <w:bCs/>
          <w:i w:val="false"/>
          <w:iCs w:val="false"/>
          <w:sz w:val="24"/>
          <w:szCs w:val="24"/>
        </w:rPr>
        <w:t xml:space="preserve">2.3 Reporte inicial KSVDL — R26-013079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val="false"/>
        </w:trPr>
        <w:tc>
          <w:tcPr>
            <w:tcW w:type="dxa" w:w="260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center"/>
            </w:pPr>
            <w:r>
              <w:rPr>
                <w:rFonts w:ascii="Arial" w:cs="Arial" w:eastAsia="Arial" w:hAnsi="Arial"/>
                <w:b/>
                <w:bCs/>
                <w:i w:val="false"/>
                <w:iCs w:val="false"/>
                <w:sz w:val="22"/>
                <w:szCs w:val="22"/>
              </w:rPr>
              <w:t xml:space="preserve">Parameter</w:t>
            </w:r>
          </w:p>
        </w:tc>
        <w:tc>
          <w:tcPr>
            <w:tcW w:type="dxa" w:w="330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center"/>
            </w:pPr>
            <w:r>
              <w:rPr>
                <w:rFonts w:ascii="Arial" w:cs="Arial" w:eastAsia="Arial" w:hAnsi="Arial"/>
                <w:b/>
                <w:bCs/>
                <w:i w:val="false"/>
                <w:iCs w:val="false"/>
                <w:sz w:val="22"/>
                <w:szCs w:val="22"/>
              </w:rPr>
              <w:t xml:space="preserve">R26-013079 (FAIL)</w:t>
            </w:r>
          </w:p>
        </w:tc>
        <w:tc>
          <w:tcPr>
            <w:tcW w:type="dxa" w:w="346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center"/>
            </w:pPr>
            <w:r>
              <w:rPr>
                <w:rFonts w:ascii="Arial" w:cs="Arial" w:eastAsia="Arial" w:hAnsi="Arial"/>
                <w:b/>
                <w:bCs/>
                <w:i w:val="false"/>
                <w:iCs w:val="false"/>
                <w:sz w:val="22"/>
                <w:szCs w:val="22"/>
              </w:rPr>
              <w:t xml:space="preserve">R26-030347 (PASS)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Animal / Microchip</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ATON · 725093200213835</w:t>
            </w:r>
          </w:p>
        </w:tc>
        <w:tc>
          <w:tcPr>
            <w:tcW w:type="dxa" w:w="34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ATON · 725093200213835</w:t>
            </w:r>
          </w:p>
        </w:tc>
      </w:tr>
      <w:tr>
        <w:trPr>
          <w:tblHeader w:val="false"/>
        </w:trPr>
        <w:tc>
          <w:tcPr>
            <w:tcW w:type="dxa" w:w="26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Species / Breed / Sex / Age</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Dog · Weimaraner · Male · 3Y 9M</w:t>
            </w:r>
          </w:p>
        </w:tc>
        <w:tc>
          <w:tcPr>
            <w:tcW w:type="dxa" w:w="34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Dog · Weimaraner · Male · 3Y 9M</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Serum draw date</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February 4, 2026</w:t>
            </w:r>
          </w:p>
        </w:tc>
        <w:tc>
          <w:tcPr>
            <w:tcW w:type="dxa" w:w="34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April 4, 2026</w:t>
            </w:r>
          </w:p>
        </w:tc>
      </w:tr>
      <w:tr>
        <w:trPr>
          <w:tblHeader w:val="false"/>
        </w:trPr>
        <w:tc>
          <w:tcPr>
            <w:tcW w:type="dxa" w:w="26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FAVN result (IU/mL)</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color w:val="C00000"/>
                <w:sz w:val="22"/>
                <w:szCs w:val="22"/>
              </w:rPr>
              <w:t xml:space="preserve">0.22 IU/mL — FAIL</w:t>
            </w:r>
          </w:p>
        </w:tc>
        <w:tc>
          <w:tcPr>
            <w:tcW w:type="dxa" w:w="34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color w:val="375623"/>
                <w:sz w:val="22"/>
                <w:szCs w:val="22"/>
              </w:rPr>
              <w:t xml:space="preserve">≥3.46 IU/mL — PASS</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EU threshold (IU/mL)</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&lt; 0.50 (threshold not met)</w:t>
            </w:r>
          </w:p>
        </w:tc>
        <w:tc>
          <w:tcPr>
            <w:tcW w:type="dxa" w:w="34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 0.50 (6.92× threshold)</w:t>
            </w:r>
          </w:p>
        </w:tc>
      </w:tr>
      <w:tr>
        <w:trPr>
          <w:tblHeader w:val="false"/>
        </w:trPr>
        <w:tc>
          <w:tcPr>
            <w:tcW w:type="dxa" w:w="26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Laboratory</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KSVDL — Kansas State University</w:t>
            </w:r>
          </w:p>
        </w:tc>
        <w:tc>
          <w:tcPr>
            <w:tcW w:type="dxa" w:w="34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KSVDL — Kansas State University</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Vaccination protocol</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iCs/>
                <w:sz w:val="22"/>
                <w:szCs w:val="22"/>
              </w:rPr>
              <w:t xml:space="preserve">Protocol administered by veterinary practitioner in Sweden prior to transfer to Peru — brand and schedule undocumented</w:t>
            </w:r>
          </w:p>
        </w:tc>
        <w:tc>
          <w:tcPr>
            <w:tcW w:type="dxa" w:w="34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Novibac Rabies D1/D15/D30 — Veterinaria Zoovet</w:t>
            </w:r>
          </w:p>
        </w:tc>
      </w:tr>
      <w:tr>
        <w:trPr>
          <w:tblHeader w:val="false"/>
        </w:trPr>
        <w:tc>
          <w:tcPr>
            <w:tcW w:type="dxa" w:w="26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Destination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Sweden (EU rabies-free zone)</w:t>
            </w:r>
          </w:p>
        </w:tc>
        <w:tc>
          <w:tcPr>
            <w:tcW w:type="dxa" w:w="34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Sweden (EU rabies-free zone)</w:t>
            </w:r>
          </w:p>
        </w:tc>
      </w:tr>
      <w:tr>
        <w:trPr>
          <w:tblHeader w:val="false"/>
        </w:trPr>
        <w:tc>
          <w:tcPr>
            <w:tcW w:type="dxa" w:w="26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bCs/>
                <w:i w:val="false"/>
                <w:iCs w:val="false"/>
                <w:sz w:val="22"/>
                <w:szCs w:val="22"/>
              </w:rPr>
              <w:t xml:space="preserve">Regulatory framework</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EU Reg. 576/2013 · WOAH Chapter 8.14</w:t>
            </w:r>
          </w:p>
        </w:tc>
        <w:tc>
          <w:tcPr>
            <w:tcW w:type="dxa" w:w="34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EU Reg. 576/2013 · WOAH Chapter 8.14</w:t>
            </w:r>
          </w:p>
        </w:tc>
      </w:tr>
    </w:tbl>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60" w:before="40" w:line="276"/>
        <w:jc w:val="center"/>
      </w:pPr>
      <w:r>
        <w:rPr>
          <w:rFonts w:ascii="Times New Roman" w:cs="Times New Roman" w:eastAsia="Times New Roman" w:hAnsi="Times New Roman"/>
          <w:b w:val="false"/>
          <w:bCs w:val="false"/>
          <w:i/>
          <w:iCs/>
          <w:sz w:val="20"/>
          <w:szCs w:val="20"/>
        </w:rPr>
        <w:t xml:space="preserve">Tabla 1. Comparación de parámetros serológicos KSVDL: R26-013079 (FAIL) vs. R26-030347 (PASS). Paciente: ATON, Weimaraner, microchip 725093200213835. Veterinaria Zoovet Travel, Trujillo, Perú.</w:t>
      </w:r>
    </w:p>
    <w:p>
      <w:pPr>
        <w:pStyle w:val="Heading1"/>
        <w:spacing w:after="120" w:before="280" w:line="276"/>
        <w:jc w:val="left"/>
      </w:pPr>
      <w:r>
        <w:rPr>
          <w:rFonts w:ascii="Arial" w:cs="Arial" w:eastAsia="Arial" w:hAnsi="Arial"/>
          <w:b/>
          <w:bCs/>
          <w:i w:val="false"/>
          <w:iCs w:val="false"/>
          <w:sz w:val="28"/>
          <w:szCs w:val="28"/>
        </w:rPr>
        <w:t xml:space="preserve">3. Protocolo de Reconversión D1/D15/D30 / Reconversion Protocol</w:t>
      </w:r>
    </w:p>
    <w:p>
      <w:pPr>
        <w:spacing w:after="80" w:before="200" w:line="276"/>
        <w:jc w:val="left"/>
      </w:pPr>
      <w:r>
        <w:rPr>
          <w:rFonts w:ascii="Arial" w:cs="Arial" w:eastAsia="Arial" w:hAnsi="Arial"/>
          <w:b/>
          <w:bCs/>
          <w:i w:val="false"/>
          <w:iCs w:val="false"/>
          <w:sz w:val="24"/>
          <w:szCs w:val="24"/>
        </w:rPr>
        <w:t xml:space="preserve">3.1 Fundamento inmunológico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protocolo D1/D15/D30 con Novibac Rabies (MSD Animal Health) se basa en la cinética de la respuesta inmune humoral post-vacunal descrita para vacunas antirrábicas inactivadas en perros. Tras la primovacunación (D1), se activa una respuesta de fase lag de 7–10 días durante la cual los linfocitos B naive procesan el antígeno, proliferan y comienzan a diferenciarse en células plasmáticas productoras de IgM. La clase-conmutación hacia IgG —isótipo con mayor capacidad neutralizante— se produce de forma progresiva durante las semanas 2–4.</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administración de un refuerzo en D15 —cuando las células B de memoria están plenamente cebadas pero la respuesta primaria aún no ha declinado— genera una respuesta anamnéstica de alta magnitud: reclutamiento rápido de plasmablastos de memoria, producción de IgG de alta afinidad, y elevación del título de rVNA hasta valores detectables por FAVN en el momento de la extracción de muestra en D30 (15 días post-refuerzo). Este mecanismo está documentado en la literatura de referencia (Wallace et al., 2017; Camacho García, datos no publicados, 2026).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refuerzo en D15 —y no en D30— tiene implicancias prácticas directas: maximiza el pico de la respuesta anamnéstica en el momento de la extracción (D30), reduce la probabilidad de una segunda FAVN FAIL que obligaría a reiniciar el cronograma, y optimiza el tiempo total del proceso para el propietario.</w:t>
      </w:r>
    </w:p>
    <w:p>
      <w:pPr>
        <w:spacing w:after="80" w:before="200" w:line="276"/>
        <w:jc w:val="left"/>
      </w:pPr>
      <w:r>
        <w:rPr>
          <w:rFonts w:ascii="Arial" w:cs="Arial" w:eastAsia="Arial" w:hAnsi="Arial"/>
          <w:b/>
          <w:bCs/>
          <w:i w:val="false"/>
          <w:iCs w:val="false"/>
          <w:sz w:val="24"/>
          <w:szCs w:val="24"/>
        </w:rPr>
        <w:t xml:space="preserve">3.2 Cronograma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val="false"/>
        </w:trPr>
        <w:tc>
          <w:tcPr>
            <w:tcW w:type="dxa" w:w="144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center"/>
            </w:pPr>
            <w:r>
              <w:rPr>
                <w:rFonts w:ascii="Arial" w:cs="Arial" w:eastAsia="Arial" w:hAnsi="Arial"/>
                <w:b/>
                <w:bCs/>
                <w:i w:val="false"/>
                <w:iCs w:val="false"/>
                <w:sz w:val="22"/>
                <w:szCs w:val="22"/>
              </w:rPr>
              <w:t xml:space="preserve">Day</w:t>
            </w:r>
          </w:p>
        </w:tc>
        <w:tc>
          <w:tcPr>
            <w:tcW w:type="dxa" w:w="240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both"/>
            </w:pPr>
            <w:r>
              <w:rPr>
                <w:rFonts w:ascii="Arial" w:cs="Arial" w:eastAsia="Arial" w:hAnsi="Arial"/>
                <w:b/>
                <w:bCs/>
                <w:i w:val="false"/>
                <w:iCs w:val="false"/>
                <w:sz w:val="22"/>
                <w:szCs w:val="22"/>
              </w:rPr>
              <w:t xml:space="preserve">Approximate Date</w:t>
            </w:r>
          </w:p>
        </w:tc>
        <w:tc>
          <w:tcPr>
            <w:tcW w:type="dxa" w:w="552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both"/>
            </w:pPr>
            <w:r>
              <w:rPr>
                <w:rFonts w:ascii="Arial" w:cs="Arial" w:eastAsia="Arial" w:hAnsi="Arial"/>
                <w:b/>
                <w:bCs/>
                <w:i w:val="false"/>
                <w:iCs w:val="false"/>
                <w:sz w:val="22"/>
                <w:szCs w:val="22"/>
              </w:rPr>
              <w:t xml:space="preserve">Action</w:t>
            </w:r>
          </w:p>
        </w:tc>
      </w:tr>
      <w:tr>
        <w:trPr>
          <w:tblHeader w:val="false"/>
        </w:trPr>
        <w:tc>
          <w:tcPr>
            <w:tcW w:type="dxa" w:w="144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center"/>
            </w:pPr>
            <w:r>
              <w:rPr>
                <w:rFonts w:ascii="Times New Roman" w:cs="Times New Roman" w:eastAsia="Times New Roman" w:hAnsi="Times New Roman"/>
                <w:b/>
                <w:bCs/>
                <w:i w:val="false"/>
                <w:iCs w:val="false"/>
                <w:sz w:val="22"/>
                <w:szCs w:val="22"/>
              </w:rPr>
              <w:t xml:space="preserve">D1</w:t>
            </w:r>
          </w:p>
        </w:tc>
        <w:tc>
          <w:tcPr>
            <w:tcW w:type="dxa" w:w="24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~March 5, 2026</w:t>
            </w:r>
          </w:p>
        </w:tc>
        <w:tc>
          <w:tcPr>
            <w:tcW w:type="dxa" w:w="552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Primary vaccination — Novibac Rabies (MSD Animal Health). Microchip verified ISO 11784/11785.</w:t>
            </w:r>
          </w:p>
        </w:tc>
      </w:tr>
      <w:tr>
        <w:trPr>
          <w:tblHeader w:val="false"/>
        </w:trPr>
        <w:tc>
          <w:tcPr>
            <w:tcW w:type="dxa" w:w="144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center"/>
            </w:pPr>
            <w:r>
              <w:rPr>
                <w:rFonts w:ascii="Times New Roman" w:cs="Times New Roman" w:eastAsia="Times New Roman" w:hAnsi="Times New Roman"/>
                <w:b/>
                <w:bCs/>
                <w:i w:val="false"/>
                <w:iCs w:val="false"/>
                <w:sz w:val="22"/>
                <w:szCs w:val="22"/>
              </w:rPr>
              <w:t xml:space="preserve">D15</w:t>
            </w:r>
          </w:p>
        </w:tc>
        <w:tc>
          <w:tcPr>
            <w:tcW w:type="dxa" w:w="24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~March 19, 2026</w:t>
            </w:r>
          </w:p>
        </w:tc>
        <w:tc>
          <w:tcPr>
            <w:tcW w:type="dxa" w:w="552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Booster dose — Novibac Rabies. Administered within the memory B-cell priming window, maximizing anamnestic response magnitude.</w:t>
            </w:r>
          </w:p>
        </w:tc>
      </w:tr>
      <w:tr>
        <w:trPr>
          <w:tblHeader w:val="false"/>
        </w:trPr>
        <w:tc>
          <w:tcPr>
            <w:tcW w:type="dxa" w:w="144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center"/>
            </w:pPr>
            <w:r>
              <w:rPr>
                <w:rFonts w:ascii="Times New Roman" w:cs="Times New Roman" w:eastAsia="Times New Roman" w:hAnsi="Times New Roman"/>
                <w:b/>
                <w:bCs/>
                <w:i w:val="false"/>
                <w:iCs w:val="false"/>
                <w:sz w:val="22"/>
                <w:szCs w:val="22"/>
              </w:rPr>
              <w:t xml:space="preserve">D30</w:t>
            </w:r>
          </w:p>
        </w:tc>
        <w:tc>
          <w:tcPr>
            <w:tcW w:type="dxa" w:w="24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April 4, 2026</w:t>
            </w:r>
          </w:p>
        </w:tc>
        <w:tc>
          <w:tcPr>
            <w:tcW w:type="dxa" w:w="552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40" w:before="0" w:line="276"/>
              <w:jc w:val="both"/>
            </w:pPr>
            <w:r>
              <w:rPr>
                <w:rFonts w:ascii="Times New Roman" w:cs="Times New Roman" w:eastAsia="Times New Roman" w:hAnsi="Times New Roman"/>
                <w:b w:val="false"/>
                <w:bCs w:val="false"/>
                <w:i w:val="false"/>
                <w:iCs w:val="false"/>
                <w:sz w:val="22"/>
                <w:szCs w:val="22"/>
              </w:rPr>
              <w:t xml:space="preserve">Blood extraction for FAVN serology. Serum submitted to KSVDL (WOAH-approved) — Laboratory Report R26-030347.</w:t>
            </w:r>
          </w:p>
        </w:tc>
      </w:tr>
    </w:tbl>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60" w:before="40" w:line="276"/>
        <w:jc w:val="center"/>
      </w:pPr>
      <w:r>
        <w:rPr>
          <w:rFonts w:ascii="Times New Roman" w:cs="Times New Roman" w:eastAsia="Times New Roman" w:hAnsi="Times New Roman"/>
          <w:b w:val="false"/>
          <w:bCs w:val="false"/>
          <w:i/>
          <w:iCs/>
          <w:sz w:val="20"/>
          <w:szCs w:val="20"/>
        </w:rPr>
        <w:t xml:space="preserve">Tabla 2. Cronograma del protocolo Novibac Rabies D1/D15/D30 aplicado al caso ATON. Las fechas exactas de D1 y D15 son aproximadas a partir de la fecha de extracción (D30 = April 4, 2026). Veterinaria Zoovet Travel, Trujillo, Perú.</w:t>
      </w:r>
    </w:p>
    <w:p>
      <w:pPr>
        <w:spacing w:after="80" w:before="200" w:line="276"/>
        <w:jc w:val="left"/>
      </w:pPr>
      <w:r>
        <w:rPr>
          <w:rFonts w:ascii="Arial" w:cs="Arial" w:eastAsia="Arial" w:hAnsi="Arial"/>
          <w:b/>
          <w:bCs/>
          <w:i w:val="false"/>
          <w:iCs w:val="false"/>
          <w:sz w:val="24"/>
          <w:szCs w:val="24"/>
        </w:rPr>
        <w:t xml:space="preserve">3.3 Consideraciones regulatorias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Reglamento (UE) 576/2013 exige, para perros procedentes de terceros países no incluidos en la lista de países autorizados —categoría que incluye a Perú— que la muestra para VNT (RFFIT o FAVN) sea extraída no antes de 30 días después de la vacunación primaria (Comisión Europea, 2013). El esquema D1/D15/D30 cumple este requisito: la extracción de muestra en D30 (30 días post-D1) corresponde exactamente al mínimo regulatorio, y el refuerzo en D15 optimiza el título sin alterar la ventana de muestreo permitida. El resultado posterior a D30 debe ser positivo (≥ 0.50 UI/mL) para que el animal pueda ser admitido en la UE después de un período de espera adicional de 3 meses (para países de la lista no cualificada).</w:t>
      </w:r>
    </w:p>
    <w:p>
      <w:pPr>
        <w:spacing w:after="120" w:before="0" w:line="276"/>
        <w:jc w:val="both"/>
      </w:pPr>
      <w:r>
        <w:br w:type="page"/>
      </w:r>
    </w:p>
    <w:p>
      <w:pPr>
        <w:pStyle w:val="Heading1"/>
        <w:spacing w:after="120" w:before="280" w:line="276"/>
        <w:jc w:val="left"/>
      </w:pPr>
      <w:r>
        <w:rPr>
          <w:rFonts w:ascii="Arial" w:cs="Arial" w:eastAsia="Arial" w:hAnsi="Arial"/>
          <w:b/>
          <w:bCs/>
          <w:i w:val="false"/>
          <w:iCs w:val="false"/>
          <w:sz w:val="28"/>
          <w:szCs w:val="28"/>
        </w:rPr>
        <w:t xml:space="preserve">4. Resultados / Results</w:t>
      </w:r>
    </w:p>
    <w:p>
      <w:pPr>
        <w:spacing w:after="80" w:before="200" w:line="276"/>
        <w:jc w:val="left"/>
      </w:pPr>
      <w:r>
        <w:rPr>
          <w:rFonts w:ascii="Arial" w:cs="Arial" w:eastAsia="Arial" w:hAnsi="Arial"/>
          <w:b/>
          <w:bCs/>
          <w:i w:val="false"/>
          <w:iCs w:val="false"/>
          <w:sz w:val="24"/>
          <w:szCs w:val="24"/>
        </w:rPr>
        <w:t xml:space="preserve">4.1 FAVN R26-013079 — Resultado FAIL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Fecha de extracción de suero: 4 de febrero de 2026. Laboratorio: KSVDL (Kansas State Veterinary Diagnostic Laboratory), Manhattan, Kansas, USA — laboratorio acreditado WOAH/OIE para prueba FAVN. Resultado: 0.22 UI/mL. Clasificación: FAIL (&lt; 0.50 UI/mL, umbral regulatorio UE/WOAH). El resultado equivale al 44% del umbral mínimo exigido para movimiento internacional a Suecia (UE, zona libre de rabia). La vacunación previa fue reportada como administrada en Suecia bajo un esquema no documentado; no se dispuso de marca de vacuna, fecha de administración ni registro de refuerzo.</w:t>
      </w:r>
    </w:p>
    <w:p>
      <w:pPr>
        <w:spacing w:after="80" w:before="200" w:line="276"/>
        <w:jc w:val="left"/>
      </w:pPr>
      <w:r>
        <w:rPr>
          <w:rFonts w:ascii="Arial" w:cs="Arial" w:eastAsia="Arial" w:hAnsi="Arial"/>
          <w:b/>
          <w:bCs/>
          <w:i w:val="false"/>
          <w:iCs w:val="false"/>
          <w:sz w:val="24"/>
          <w:szCs w:val="24"/>
        </w:rPr>
        <w:t xml:space="preserve">4.2 FAVN R26-030347 — Resultado PASS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Fecha de extracción de suero: 4 de abril de 2026 (D30 del protocolo D1/D15/D30). Laboratorio: KSVDL. Resultado: ≥ 3.46 UI/mL. Clasificación: PASS (6.92× el umbral regulatorio). El intervalo entre la extracción FAIL y la extracción PASS fue de 59 días (4 de febrero – 4 de abril de 2026), período que comprende la consulta de derivación, la aplicación del protocolo D1/D15/D30, y los trámites de envío de muestra a KSVDL.</w:t>
      </w:r>
    </w:p>
    <w:p>
      <w:pPr>
        <w:spacing w:after="60" w:before="0" w:line="276"/>
        <w:jc w:val="both"/>
      </w:pPr>
      <w:r>
        <w:rPr>
          <w:rFonts w:ascii="Times New Roman" w:cs="Times New Roman" w:eastAsia="Times New Roman" w:hAnsi="Times New Roman"/>
          <w:b/>
          <w:bCs/>
          <w:i w:val="false"/>
          <w:iCs w:val="false"/>
          <w:sz w:val="24"/>
          <w:szCs w:val="24"/>
        </w:rPr>
        <w:t xml:space="preserve">Delta de reconversión: </w:t>
      </w:r>
      <w:r>
        <w:rPr>
          <w:rFonts w:ascii="Times New Roman" w:cs="Times New Roman" w:eastAsia="Times New Roman" w:hAnsi="Times New Roman"/>
          <w:b w:val="false"/>
          <w:bCs w:val="false"/>
          <w:i w:val="false"/>
          <w:iCs w:val="false"/>
          <w:sz w:val="24"/>
          <w:szCs w:val="24"/>
        </w:rPr>
        <w:t xml:space="preserve">el título post-protocolo de ≥ 3.46 UI/mL representa:</w:t>
      </w:r>
    </w:p>
    <w:p>
      <w:pPr>
        <w:spacing w:after="40" w:before="0" w:line="276"/>
        <w:jc w:val="both"/>
      </w:pPr>
      <w:r>
        <w:rPr>
          <w:rFonts w:ascii="Times New Roman" w:cs="Times New Roman" w:eastAsia="Times New Roman" w:hAnsi="Times New Roman"/>
          <w:b w:val="false"/>
          <w:bCs w:val="false"/>
          <w:i w:val="false"/>
          <w:iCs w:val="false"/>
          <w:sz w:val="24"/>
          <w:szCs w:val="24"/>
        </w:rPr>
        <w:t xml:space="preserve">15.73× el valor FAIL inicial (0.22 UI/mL → ≥ 3.46 UI/mL)</w:t>
      </w:r>
    </w:p>
    <w:p>
      <w:pPr>
        <w:spacing w:after="40" w:before="0" w:line="276"/>
        <w:jc w:val="both"/>
      </w:pPr>
      <w:r>
        <w:rPr>
          <w:rFonts w:ascii="Times New Roman" w:cs="Times New Roman" w:eastAsia="Times New Roman" w:hAnsi="Times New Roman"/>
          <w:b w:val="false"/>
          <w:bCs w:val="false"/>
          <w:i w:val="false"/>
          <w:iCs w:val="false"/>
          <w:sz w:val="24"/>
          <w:szCs w:val="24"/>
        </w:rPr>
        <w:t xml:space="preserve">6.92× el umbral regulatorio de la UE (0.50 UI/mL)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delta de reconversión más alto registrado en el repositorio FAVN de Veterinaria Zoovet (49 registros, 2019–2026)</w:t>
      </w:r>
    </w:p>
    <w:p>
      <w:pPr>
        <w:spacing w:after="80" w:before="200" w:line="276"/>
        <w:jc w:val="left"/>
      </w:pPr>
      <w:r>
        <w:rPr>
          <w:rFonts w:ascii="Arial" w:cs="Arial" w:eastAsia="Arial" w:hAnsi="Arial"/>
          <w:b/>
          <w:bCs/>
          <w:i w:val="false"/>
          <w:iCs w:val="false"/>
          <w:sz w:val="24"/>
          <w:szCs w:val="24"/>
        </w:rPr>
        <w:t xml:space="preserve">4.3 Catalogación Dublin Core — Comparativa de ambos reportes</w:t>
      </w:r>
    </w:p>
    <w:p>
      <w:pPr>
        <w:spacing w:after="80" w:before="0" w:line="276"/>
        <w:jc w:val="both"/>
      </w:pPr>
      <w:r>
        <w:rPr>
          <w:rFonts w:ascii="Times New Roman" w:cs="Times New Roman" w:eastAsia="Times New Roman" w:hAnsi="Times New Roman"/>
          <w:b w:val="false"/>
          <w:bCs w:val="false"/>
          <w:i w:val="false"/>
          <w:iCs w:val="false"/>
          <w:sz w:val="24"/>
          <w:szCs w:val="24"/>
        </w:rPr>
        <w:t xml:space="preserve">Ambos reportes KSVDL han sido catalogados bajo los 15 elementos del esquema Dublin Core Metadata Initiative (DCMI) e integrados al repositorio institucional de datos FAVN disponible en https://zoovettravel.com/favn-data/index.json. La tabla 3 presenta la comparación estructurada de los metadatos de ambos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val="false"/>
        </w:trPr>
        <w:tc>
          <w:tcPr>
            <w:tcW w:type="dxa" w:w="220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both"/>
            </w:pPr>
            <w:r>
              <w:rPr>
                <w:rFonts w:ascii="Arial" w:cs="Arial" w:eastAsia="Arial" w:hAnsi="Arial"/>
                <w:b/>
                <w:bCs/>
                <w:i w:val="false"/>
                <w:iCs w:val="false"/>
                <w:sz w:val="20"/>
                <w:szCs w:val="20"/>
              </w:rPr>
              <w:t xml:space="preserve">DC Element</w:t>
            </w:r>
          </w:p>
        </w:tc>
        <w:tc>
          <w:tcPr>
            <w:tcW w:type="dxa" w:w="330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both"/>
            </w:pPr>
            <w:r>
              <w:rPr>
                <w:rFonts w:ascii="Arial" w:cs="Arial" w:eastAsia="Arial" w:hAnsi="Arial"/>
                <w:b/>
                <w:bCs/>
                <w:i w:val="false"/>
                <w:iCs w:val="false"/>
                <w:sz w:val="20"/>
                <w:szCs w:val="20"/>
              </w:rPr>
              <w:t xml:space="preserve">R26-013079 (FAIL)</w:t>
            </w:r>
          </w:p>
        </w:tc>
        <w:tc>
          <w:tcPr>
            <w:tcW w:type="dxa" w:w="3860"/>
            <w:tcBorders>
              <w:top w:val="single" w:color="999999" w:sz="4"/>
              <w:left w:val="single" w:color="999999" w:sz="4"/>
              <w:bottom w:val="single" w:color="999999" w:sz="4"/>
              <w:right w:val="single" w:color="999999" w:sz="4"/>
            </w:tcBorders>
            <w:shd w:fill="D0E4F1" w:val="clear"/>
            <w:tcMar>
              <w:top w:type="dxa" w:w="80"/>
              <w:left w:type="dxa" w:w="140"/>
              <w:bottom w:type="dxa" w:w="80"/>
              <w:right w:type="dxa" w:w="140"/>
            </w:tcMar>
            <w:vAlign w:val="center"/>
          </w:tcPr>
          <w:p>
            <w:pPr>
              <w:spacing w:after="40" w:before="0" w:line="276"/>
              <w:jc w:val="both"/>
            </w:pPr>
            <w:r>
              <w:rPr>
                <w:rFonts w:ascii="Arial" w:cs="Arial" w:eastAsia="Arial" w:hAnsi="Arial"/>
                <w:b/>
                <w:bCs/>
                <w:i w:val="false"/>
                <w:iCs w:val="false"/>
                <w:sz w:val="20"/>
                <w:szCs w:val="20"/>
              </w:rPr>
              <w:t xml:space="preserve">R26-030347 (PASS)</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dc:title</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FAVN Serology Report — ATON · R26-013079 · FAIL</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FAVN Serology Report — ATON · R26-030347 · PASS</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dc:creator</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Jessica Ysabel Camacho García, MV</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Jessica Ysabel Camacho García, MV</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dc:subject</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FAVN; rVNA; KSVDL; FAIL; subthreshold immunoresponse; reconversion candidate</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FAVN; rVNA; KSVDL; PASS; post-booster reconversion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dc:date</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2026-02-04</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2026-04-04</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dc:identifier</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LAB# R26-013079 · KSVDL</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LAB# R26-030347 · KSVDL</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dc:source</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Kansas State Veterinary Diagnostic Laboratory</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Kansas State Veterinary Diagnostic Laboratory</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dc:relation</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retest: R26-030347</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previous-fail: R26-013079</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dc:coverage</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Perú → Sweden · EU 576/2013 · Novibac D1/D15/D30</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Perú → Sweden · EU 576/2013 · Novibac D1/D15/D30</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dc:type</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Dataset; Laboratory Result; Clinical Record</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Dataset; Laboratory Result; Clinical Record</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dc:format</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application/json; application/pdf</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application/json; application/pdf</w:t>
            </w:r>
          </w:p>
        </w:tc>
      </w:tr>
      <w:tr>
        <w:trPr>
          <w:tblHeader w:val="false"/>
        </w:trPr>
        <w:tc>
          <w:tcPr>
            <w:tcW w:type="dxa" w:w="22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dc:language</w:t>
            </w:r>
          </w:p>
        </w:tc>
        <w:tc>
          <w:tcPr>
            <w:tcW w:type="dxa" w:w="330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en</w:t>
            </w:r>
          </w:p>
        </w:tc>
        <w:tc>
          <w:tcPr>
            <w:tcW w:type="dxa" w:w="3860"/>
            <w:tcBorders>
              <w:top w:val="single" w:color="999999" w:sz="4"/>
              <w:left w:val="single" w:color="999999" w:sz="4"/>
              <w:bottom w:val="single" w:color="999999" w:sz="4"/>
              <w:right w:val="single" w:color="999999" w:sz="4"/>
            </w:tcBorders>
            <w:shd w:fill="F2F2F2" w:val="clear"/>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en</w:t>
            </w:r>
          </w:p>
        </w:tc>
      </w:tr>
      <w:tr>
        <w:trPr>
          <w:tblHeader w:val="false"/>
        </w:trPr>
        <w:tc>
          <w:tcPr>
            <w:tcW w:type="dxa" w:w="22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Arial" w:cs="Arial" w:eastAsia="Arial" w:hAnsi="Arial"/>
                <w:b/>
                <w:bCs/>
                <w:i w:val="false"/>
                <w:iCs w:val="false"/>
                <w:sz w:val="20"/>
                <w:szCs w:val="20"/>
              </w:rPr>
              <w:t xml:space="preserve">dc:publisher</w:t>
            </w:r>
          </w:p>
        </w:tc>
        <w:tc>
          <w:tcPr>
            <w:tcW w:type="dxa" w:w="330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Veterinaria Zoovet Travel · Trujillo, Perú</w:t>
            </w:r>
          </w:p>
        </w:tc>
        <w:tc>
          <w:tcPr>
            <w:tcW w:type="dxa" w:w="3860"/>
            <w:tcBorders>
              <w:top w:val="single" w:color="999999" w:sz="4"/>
              <w:left w:val="single" w:color="999999" w:sz="4"/>
              <w:bottom w:val="single" w:color="999999" w:sz="4"/>
              <w:right w:val="single" w:color="999999" w:sz="4"/>
            </w:tcBorders>
            <w:tcMar>
              <w:top w:type="dxa" w:w="80"/>
              <w:left w:type="dxa" w:w="140"/>
              <w:bottom w:type="dxa" w:w="80"/>
              <w:right w:type="dxa" w:w="140"/>
            </w:tcMar>
            <w:vAlign w:val="center"/>
          </w:tcPr>
          <w:p>
            <w:pPr>
              <w:spacing w:after="30" w:before="0" w:line="276"/>
              <w:jc w:val="both"/>
            </w:pPr>
            <w:r>
              <w:rPr>
                <w:rFonts w:ascii="Times New Roman" w:cs="Times New Roman" w:eastAsia="Times New Roman" w:hAnsi="Times New Roman"/>
                <w:b w:val="false"/>
                <w:bCs w:val="false"/>
                <w:i w:val="false"/>
                <w:iCs w:val="false"/>
                <w:sz w:val="20"/>
                <w:szCs w:val="20"/>
              </w:rPr>
              <w:t xml:space="preserve">Veterinaria Zoovet Travel · Trujillo, Perú</w:t>
            </w:r>
          </w:p>
        </w:tc>
      </w:tr>
    </w:tbl>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60" w:before="40" w:line="276"/>
        <w:jc w:val="center"/>
      </w:pPr>
      <w:r>
        <w:rPr>
          <w:rFonts w:ascii="Times New Roman" w:cs="Times New Roman" w:eastAsia="Times New Roman" w:hAnsi="Times New Roman"/>
          <w:b w:val="false"/>
          <w:bCs w:val="false"/>
          <w:i/>
          <w:iCs/>
          <w:sz w:val="20"/>
          <w:szCs w:val="20"/>
        </w:rPr>
        <w:t xml:space="preserve">Tabla 3. Catalogación Dublin Core comparativa: R26-013079 (FAIL) vs. R26-030347 (PASS). Fuente: Repositorio FAVN Veterinaria Zoovet Travel — index.json, registros id:40 y id:41. Dataset DOI: https://doi.org/10.5281/zenodo.20311995.</w:t>
      </w:r>
    </w:p>
    <w:p>
      <w:pPr>
        <w:spacing w:after="80" w:before="200" w:line="276"/>
        <w:jc w:val="left"/>
      </w:pPr>
      <w:r>
        <w:rPr>
          <w:rFonts w:ascii="Arial" w:cs="Arial" w:eastAsia="Arial" w:hAnsi="Arial"/>
          <w:b/>
          <w:bCs/>
          <w:i w:val="false"/>
          <w:iCs w:val="false"/>
          <w:sz w:val="24"/>
          <w:szCs w:val="24"/>
        </w:rPr>
        <w:t xml:space="preserve">4.4 Contexto dentro del repositorio FAVN</w:t>
      </w:r>
    </w:p>
    <w:p>
      <w:pPr>
        <w:spacing w:after="80" w:before="0" w:line="276"/>
        <w:jc w:val="both"/>
      </w:pPr>
      <w:r>
        <w:rPr>
          <w:rFonts w:ascii="Times New Roman" w:cs="Times New Roman" w:eastAsia="Times New Roman" w:hAnsi="Times New Roman"/>
          <w:b w:val="false"/>
          <w:bCs w:val="false"/>
          <w:i w:val="false"/>
          <w:iCs w:val="false"/>
          <w:sz w:val="24"/>
          <w:szCs w:val="24"/>
        </w:rPr>
        <w:t xml:space="preserve">El repositorio FAVN activo de Veterinaria Zoovet comprende 49 registros (2019–2026) procesados a través de KSVDL bajo el protocolo D1/D15/D30 con Novibac Rabies (para casos desde 2024). Los datos agregados del repositorio contextualizan el caso ATON de la siguiente manera:</w:t>
      </w:r>
    </w:p>
    <w:p>
      <w:pPr>
        <w:spacing w:after="40" w:before="0" w:line="276"/>
        <w:jc w:val="both"/>
      </w:pPr>
      <w:r>
        <w:rPr>
          <w:rFonts w:ascii="Times New Roman" w:cs="Times New Roman" w:eastAsia="Times New Roman" w:hAnsi="Times New Roman"/>
          <w:b w:val="false"/>
          <w:bCs w:val="false"/>
          <w:i w:val="false"/>
          <w:iCs w:val="false"/>
          <w:sz w:val="24"/>
          <w:szCs w:val="24"/>
        </w:rPr>
        <w:t xml:space="preserve">Total de registros: 49 (46 PASS / 3 FAIL)</w:t>
      </w:r>
    </w:p>
    <w:p>
      <w:pPr>
        <w:spacing w:after="40" w:before="0" w:line="276"/>
        <w:jc w:val="both"/>
      </w:pPr>
      <w:r>
        <w:rPr>
          <w:rFonts w:ascii="Times New Roman" w:cs="Times New Roman" w:eastAsia="Times New Roman" w:hAnsi="Times New Roman"/>
          <w:b w:val="false"/>
          <w:bCs w:val="false"/>
          <w:i w:val="false"/>
          <w:iCs w:val="false"/>
          <w:sz w:val="24"/>
          <w:szCs w:val="24"/>
        </w:rPr>
        <w:t xml:space="preserve">Rango de títulos del dataset: 0.20 – 6.01 UI/mL</w:t>
      </w:r>
    </w:p>
    <w:p>
      <w:pPr>
        <w:spacing w:after="40" w:before="0" w:line="276"/>
        <w:jc w:val="both"/>
      </w:pPr>
      <w:r>
        <w:rPr>
          <w:rFonts w:ascii="Times New Roman" w:cs="Times New Roman" w:eastAsia="Times New Roman" w:hAnsi="Times New Roman"/>
          <w:b w:val="false"/>
          <w:bCs w:val="false"/>
          <w:i w:val="false"/>
          <w:iCs w:val="false"/>
          <w:sz w:val="24"/>
          <w:szCs w:val="24"/>
        </w:rPr>
        <w:t xml:space="preserve">Media del dataset: 2.47 UI/mL</w:t>
      </w:r>
    </w:p>
    <w:p>
      <w:pPr>
        <w:spacing w:after="40" w:before="0" w:line="276"/>
        <w:jc w:val="both"/>
      </w:pPr>
      <w:r>
        <w:rPr>
          <w:rFonts w:ascii="Times New Roman" w:cs="Times New Roman" w:eastAsia="Times New Roman" w:hAnsi="Times New Roman"/>
          <w:b w:val="false"/>
          <w:bCs w:val="false"/>
          <w:i w:val="false"/>
          <w:iCs w:val="false"/>
          <w:sz w:val="24"/>
          <w:szCs w:val="24"/>
        </w:rPr>
        <w:t xml:space="preserve">Destinos: España (25), Italia (6), EE.UU. (5), Suecia (2), Alemania, Francia, Portugal</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Par FAIL/PASS documentado válido: ATON (R26-013079 / R26-030347) — único par con protocolo completo auditado</w:t>
      </w:r>
    </w:p>
    <w:p>
      <w:pPr>
        <w:spacing w:after="120" w:before="0" w:line="276"/>
        <w:jc w:val="both"/>
      </w:pPr>
      <w:r>
        <w:br w:type="page"/>
      </w:r>
    </w:p>
    <w:p>
      <w:pPr>
        <w:pStyle w:val="Heading1"/>
        <w:spacing w:after="120" w:before="280" w:line="276"/>
        <w:jc w:val="left"/>
      </w:pPr>
      <w:r>
        <w:rPr>
          <w:rFonts w:ascii="Arial" w:cs="Arial" w:eastAsia="Arial" w:hAnsi="Arial"/>
          <w:b/>
          <w:bCs/>
          <w:i w:val="false"/>
          <w:iCs w:val="false"/>
          <w:sz w:val="28"/>
          <w:szCs w:val="28"/>
        </w:rPr>
        <w:t xml:space="preserve">5. Discusión / Discussion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caso ATON ilustra de forma directa la consecuencia operativa del uso de esquemas vacunales sin refuerzo documentado en el contexto del movimiento internacional de mascotas hacia zonas libres de rabia. La vacunación previa administrada en Suecia —sin marca conocida, sin fecha verificable, y sin evidencia de refuerzo— produjo un título de rVNA de 0.22 UI/mL al momento de la extracción KSVDL, valor que sugiere una respuesta primaria sin amplificación anamnéstica. Este patrón es consistente con la literatura: Wallace et al. (2017) y McElhinney et al. (2026) documentan que la ausencia de refuerzo post-primovacunación es el predictor más frecuente de fallo FAVN en caninos.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delta de reconversión de 15.73× es clínicamente relevante. Los valores de referencia disponibles en la literatura para reconversión post-refuerzo en caninos con fallo primario son limitados; sin embargo, Chuquista-Alcarraz et al. (2023) reportaron rangos de títulos post-esquema completo de entre 1.2 y 5.8 UI/mL en perros domésticos de Lima, con valores menores en animales mayores de 4 años. El resultado ≥ 3.46 UI/mL obtenido para ATON —un animal de 3 años y 9 meses— se ubica en el tercio superior de ese rango. Cabe señalar que la comparación tiene limitaciones metodológicas: el estudio de Chuquista-Alcarraz et al. (2023) refiere a seroconversión post-esquema primario completo en población general, no a reconversión tras fallo previo, y las condiciones de manejo, nu-trición y carga parásitaria de los animales de referencia pueden diferir significativamente de las del caso ATON; esta comparación tiene carácter orientativo y no permite establecer equivalencias cuantitativas directas.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magnitud del delta debe interpretarse con precaución: el reporte KSVDL para el resultado FAIL consigna 0.22 UI/mL, pero no especifica si este valor es exacto o si representa el mínimo detectable del ensayo para ese rango. La notación "≥ 3.46 UI/mL" en el reporte PASS indica que el resultado excede el límite superior de cuantificación del ensayo para ese rango, lo que implica que el título real podría ser superior. El valor de 3.46 UI/mL debe interpretarse como límite inferior confirmado, no como valor puntual exacto.</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prevalencia de perros importados con títulos de rVNA subumbrales documentada por Belanger et al. (2025) (~48% de perros importados con &lt; 0.50 UI/mL al momento de llegada) sugiere que el escenario descrito en este reporte no es infrecuente. La diferencia entre este caso y los perros importados sin documentación adecuada reside en que ATON fue sometido a prueba serológica antes del intento de entrada al destino —como exige el Reglamento UE 576/2013 para terceros países no listados— lo que permitió detectar el fallo y aplicar el protocolo de reconversión en origen. Los marcos que no exigen prueba serológica pre-embarque crean un riesgo bioseguridad documentado (CDC, 2024; Wallace et al., 2017).</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Desde la perspectiva del repositorio de datos, este caso aporta el único par FAIL/PASS con protocolo completo auditado dentro del dataset de 49 registros de Veterinaria Zoovet. El valor de un repositorio estructurado de resultados FAVN radica en su capacidad de contextualizar casos individuales dentro de un patrón operativo más amplio: la tasa de PASS en primera extracción del dataset (46/49 = 93.9%) respalda la eficacia del protocolo D1/D15/D30, y el caso ATON demuestra que los 3 casos de FAIL tienen una causa identificable (vacunación previa sin refuerzo documentado en todos los casos).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ausencia de datos latinoamericanos estructurados en repositorios internacionales (Zenodo, FigShare, DRYAD) sobre resultados FAVN es una limitación sistémica del campo. Veterinaria Zoovet Travel mantiene, al momento de la redacción de este reporte y según conocimiento de los autores, el repositorio público de resultados FAVN más extenso disponible en repositorios internacionales desde América Latina, con identificadores Dublin Core integrados. El dataset ha sido depositado en Zenodo con DOI: https://doi.org/10.5281/zenodo.20311995.</w:t>
      </w:r>
    </w:p>
    <w:p>
      <w:pPr>
        <w:pStyle w:val="Heading1"/>
        <w:spacing w:after="120" w:before="280" w:line="276"/>
        <w:jc w:val="left"/>
      </w:pPr>
      <w:r>
        <w:rPr>
          <w:rFonts w:ascii="Arial" w:cs="Arial" w:eastAsia="Arial" w:hAnsi="Arial"/>
          <w:b/>
          <w:bCs/>
          <w:i w:val="false"/>
          <w:iCs w:val="false"/>
          <w:sz w:val="28"/>
          <w:szCs w:val="28"/>
        </w:rPr>
        <w:t xml:space="preserve">6. Limitaciones / Limitations</w:t>
      </w:r>
    </w:p>
    <w:p>
      <w:pPr>
        <w:spacing w:after="80" w:before="0" w:line="276"/>
        <w:jc w:val="both"/>
      </w:pPr>
      <w:r>
        <w:rPr>
          <w:rFonts w:ascii="Times New Roman" w:cs="Times New Roman" w:eastAsia="Times New Roman" w:hAnsi="Times New Roman"/>
          <w:b w:val="false"/>
          <w:bCs w:val="false"/>
          <w:i w:val="false"/>
          <w:iCs w:val="false"/>
          <w:sz w:val="24"/>
          <w:szCs w:val="24"/>
        </w:rPr>
        <w:t xml:space="preserve">Se señalan las siguientes limitaciones del presente reporte:</w:t>
      </w:r>
    </w:p>
    <w:p>
      <w:pPr>
        <w:spacing w:after="60" w:before="0" w:line="276"/>
        <w:jc w:val="both"/>
      </w:pPr>
      <w:r>
        <w:rPr>
          <w:rFonts w:ascii="Times New Roman" w:cs="Times New Roman" w:eastAsia="Times New Roman" w:hAnsi="Times New Roman"/>
          <w:b w:val="false"/>
          <w:bCs w:val="false"/>
          <w:i w:val="false"/>
          <w:iCs w:val="false"/>
          <w:sz w:val="24"/>
          <w:szCs w:val="24"/>
        </w:rPr>
        <w:t xml:space="preserve">Caso único: Los resultados no son generalizables a la especie ni a otras condiciones de fallo primario. La reconversión observada puede reflejar variabilidad individual no representativa de la población Weimaraner.</w:t>
      </w:r>
    </w:p>
    <w:p>
      <w:pPr>
        <w:spacing w:after="60" w:before="0" w:line="276"/>
        <w:jc w:val="both"/>
      </w:pPr>
      <w:r>
        <w:rPr>
          <w:rFonts w:ascii="Times New Roman" w:cs="Times New Roman" w:eastAsia="Times New Roman" w:hAnsi="Times New Roman"/>
          <w:b w:val="false"/>
          <w:bCs w:val="false"/>
          <w:i w:val="false"/>
          <w:iCs w:val="false"/>
          <w:sz w:val="24"/>
          <w:szCs w:val="24"/>
        </w:rPr>
        <w:t xml:space="preserve">Ausencia de historia vacunal verificable: La historia vacunal previa de ATON (vacunación en Suecia) no pudo ser verificada documentalmente. No se descarta que el animal hubiera recibido un esquema incompleto, una vacuna de baja potencia, o una extracción de muestra pre-umbral — cualquiera de estas condiciones modificaría la interpretación mecánistica del fallo.</w:t>
      </w:r>
    </w:p>
    <w:p>
      <w:pPr>
        <w:spacing w:after="60" w:before="0" w:line="276"/>
        <w:jc w:val="both"/>
      </w:pPr>
      <w:r>
        <w:rPr>
          <w:rFonts w:ascii="Times New Roman" w:cs="Times New Roman" w:eastAsia="Times New Roman" w:hAnsi="Times New Roman"/>
          <w:b w:val="false"/>
          <w:bCs w:val="false"/>
          <w:i w:val="false"/>
          <w:iCs w:val="false"/>
          <w:sz w:val="24"/>
          <w:szCs w:val="24"/>
        </w:rPr>
        <w:t xml:space="preserve">Valor ≥ 3.46 UI/mL como límite inferior: El resultado PASS no representa un valor cuantitativo exacto sino un mínimo confirmado. La magnitud real del título y su relación con la inmunidad funcional a largo plazo no son determinables a partir de este reporte.</w:t>
      </w:r>
    </w:p>
    <w:p>
      <w:pPr>
        <w:spacing w:after="60" w:before="0" w:line="276"/>
        <w:jc w:val="both"/>
      </w:pPr>
      <w:r>
        <w:rPr>
          <w:rFonts w:ascii="Times New Roman" w:cs="Times New Roman" w:eastAsia="Times New Roman" w:hAnsi="Times New Roman"/>
          <w:b w:val="false"/>
          <w:bCs w:val="false"/>
          <w:i w:val="false"/>
          <w:iCs w:val="false"/>
          <w:sz w:val="24"/>
          <w:szCs w:val="24"/>
        </w:rPr>
        <w:t xml:space="preserve">Ausencia de datos hematológicos y bioquímicos: No se dispone de hemograma ni perfil bioquímico que permita descartar causas concurrentes de inmunosupresión (helmintosis severa, enfermedad de Ehrlichia, desnutrición proteíca) que hubieran podido influir en el fallo inicial o en la magnitud de la reconversión.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Fechas D1 y D15 aproximadas: Las fechas exactas de administración de D1 y D15 no han sido consignadas en este borrador; solo la fecha de extracción D30 (April 4, 2026) consta en el reporte KSVDL. Los autores tienen acceso a los registros clínicos originales y deben verificar e insertar las fechas exactas antes de la sumisión.</w:t>
      </w:r>
    </w:p>
    <w:p>
      <w:pPr>
        <w:pStyle w:val="Heading1"/>
        <w:spacing w:after="120" w:before="280" w:line="276"/>
        <w:jc w:val="left"/>
      </w:pPr>
      <w:r>
        <w:rPr>
          <w:rFonts w:ascii="Arial" w:cs="Arial" w:eastAsia="Arial" w:hAnsi="Arial"/>
          <w:b/>
          <w:bCs/>
          <w:i w:val="false"/>
          <w:iCs w:val="false"/>
          <w:sz w:val="28"/>
          <w:szCs w:val="28"/>
        </w:rPr>
        <w:t xml:space="preserve">7. Conclusión / Conclusion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El caso ATON documenta la reconversión serológica exitosa de un Weimaraner con fallo FAVN primario (0.22 UI/mL, R26-013079, KSVDL) tras la aplicación del protocolo Novibac Rabies D1/D15/D30 por Veterinaria Zoovet Travel, con resultado confirmado de ≥ 3.46 UI/mL (R26-030347, KSVDL, delta 15.73×, 6.92× el umbral UE).</w:t>
      </w:r>
    </w:p>
    <w:p>
      <w:pPr>
        <w:spacing w:after="80" w:before="0" w:line="276"/>
        <w:jc w:val="both"/>
      </w:pPr>
      <w:r>
        <w:rPr>
          <w:rFonts w:ascii="Times New Roman" w:cs="Times New Roman" w:eastAsia="Times New Roman" w:hAnsi="Times New Roman"/>
          <w:b w:val="false"/>
          <w:bCs w:val="false"/>
          <w:i w:val="false"/>
          <w:iCs w:val="false"/>
          <w:sz w:val="24"/>
          <w:szCs w:val="24"/>
        </w:rPr>
        <w:t xml:space="preserve">El caso refuerza tres conclusiones operativas:</w:t>
      </w:r>
    </w:p>
    <w:p>
      <w:pPr>
        <w:spacing w:after="60" w:before="0" w:line="276"/>
        <w:jc w:val="both"/>
      </w:pPr>
      <w:r>
        <w:rPr>
          <w:rFonts w:ascii="Times New Roman" w:cs="Times New Roman" w:eastAsia="Times New Roman" w:hAnsi="Times New Roman"/>
          <w:b w:val="false"/>
          <w:bCs w:val="false"/>
          <w:i w:val="false"/>
          <w:iCs w:val="false"/>
          <w:sz w:val="24"/>
          <w:szCs w:val="24"/>
        </w:rPr>
        <w:t xml:space="preserve">Los esquemas vacunales sin refuerzo documentado producen respuestas primarias insuficientes detectables por FAVN. La exigencia de documentación vacunal verificable en el país de origen es una medida de bioseguridad con sustento serológico directo.</w:t>
      </w:r>
    </w:p>
    <w:p>
      <w:pPr>
        <w:spacing w:after="60" w:before="0" w:line="276"/>
        <w:jc w:val="both"/>
      </w:pPr>
      <w:r>
        <w:rPr>
          <w:rFonts w:ascii="Times New Roman" w:cs="Times New Roman" w:eastAsia="Times New Roman" w:hAnsi="Times New Roman"/>
          <w:b w:val="false"/>
          <w:bCs w:val="false"/>
          <w:i w:val="false"/>
          <w:iCs w:val="false"/>
          <w:sz w:val="24"/>
          <w:szCs w:val="24"/>
        </w:rPr>
        <w:t xml:space="preserve">El protocolo D1/D15/D30 con Novibac Rabies demostró eficacia para revertir el fallo primario en este caso. El refuerzo en D15 —dentro de la ventana de memoria inmunológica— genera un título de reconversión que supera ampliamente el umbral regulatorio de la UE.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La documentación estructurada bajo Dublin Core y la integración en un repositorio abierto con identificador DOI son condiciones necesarias para la contribución a la base de evidencia global sobre FAVN en América Latina.</w:t>
      </w:r>
    </w:p>
    <w:p>
      <w:pPr>
        <w:spacing w:after="120" w:before="0" w:line="276"/>
        <w:jc w:val="both"/>
      </w:pPr>
      <w:r>
        <w:rPr>
          <w:rFonts w:ascii="Times New Roman" w:cs="Times New Roman" w:eastAsia="Times New Roman" w:hAnsi="Times New Roman"/>
          <w:b w:val="false"/>
          <w:bCs w:val="false"/>
          <w:i/>
          <w:iCs/>
          <w:sz w:val="24"/>
          <w:szCs w:val="24"/>
        </w:rPr>
        <w:t xml:space="preserve">Los autores recomiendan la verificación e inserción de las fechas exactas de D1 y D15 antes de la sumisión a peer review.</w:t>
      </w:r>
    </w:p>
    <w:p>
      <w:pPr>
        <w:pStyle w:val="Heading1"/>
        <w:spacing w:after="120" w:before="280" w:line="276"/>
        <w:jc w:val="left"/>
      </w:pPr>
      <w:r>
        <w:rPr>
          <w:rFonts w:ascii="Arial" w:cs="Arial" w:eastAsia="Arial" w:hAnsi="Arial"/>
          <w:b/>
          <w:bCs/>
          <w:i w:val="false"/>
          <w:iCs w:val="false"/>
          <w:sz w:val="28"/>
          <w:szCs w:val="28"/>
        </w:rPr>
        <w:t xml:space="preserve">Declaración de conflicto de interés / Conflict of Interest Statement</w:t>
      </w:r>
    </w:p>
    <w:p>
      <w:pPr>
        <w:spacing w:after="80" w:before="0" w:line="276"/>
        <w:jc w:val="both"/>
      </w:pPr>
      <w:r>
        <w:rPr>
          <w:rFonts w:ascii="Times New Roman" w:cs="Times New Roman" w:eastAsia="Times New Roman" w:hAnsi="Times New Roman"/>
          <w:b w:val="false"/>
          <w:bCs w:val="false"/>
          <w:i w:val="false"/>
          <w:iCs w:val="false"/>
          <w:sz w:val="24"/>
          <w:szCs w:val="24"/>
        </w:rPr>
        <w:t xml:space="preserve">La autora declara que el protocolo D1/D15/D30 con Novibac Rabies descrito en este reporte es el protocolo estándar de Veterinaria Zoovet Travel, institución de afiliación de la autora. Esta condición puede influir en la interpretación y presentación de los resultados. No existe financiamiento externo ni conflicto de interés económico asociado con este reporte.</w:t>
      </w:r>
    </w:p>
    <w:p>
      <w:pPr>
        <w:spacing w:after="120" w:before="0" w:line="276"/>
        <w:jc w:val="both"/>
      </w:pPr>
      <w:r>
        <w:rPr>
          <w:rFonts w:ascii="Times New Roman" w:cs="Times New Roman" w:eastAsia="Times New Roman" w:hAnsi="Times New Roman"/>
          <w:b w:val="false"/>
          <w:bCs w:val="false"/>
          <w:i/>
          <w:iCs/>
          <w:sz w:val="24"/>
          <w:szCs w:val="24"/>
        </w:rPr>
        <w:t xml:space="preserve">The author declares that the D1/D15/D30 Novibac Rabies protocol described in this report is the standard protocol of Veterinaria Zoovet Travel, the author’s affiliated institution. This condition may influence the interpretation and presentation of results. No external funding or financial conflict of interest is associated with this report.</w:t>
      </w:r>
    </w:p>
    <w:p>
      <w:pPr>
        <w:pStyle w:val="Heading1"/>
        <w:spacing w:after="120" w:before="280" w:line="276"/>
        <w:jc w:val="left"/>
      </w:pPr>
      <w:r>
        <w:rPr>
          <w:rFonts w:ascii="Arial" w:cs="Arial" w:eastAsia="Arial" w:hAnsi="Arial"/>
          <w:b/>
          <w:bCs/>
          <w:i w:val="false"/>
          <w:iCs w:val="false"/>
          <w:sz w:val="28"/>
          <w:szCs w:val="28"/>
        </w:rPr>
        <w:t xml:space="preserve">Consentimiento informado / Informed Consent</w:t>
      </w:r>
    </w:p>
    <w:p>
      <w:pPr>
        <w:spacing w:after="80" w:before="0" w:line="276"/>
        <w:jc w:val="both"/>
      </w:pPr>
      <w:r>
        <w:rPr>
          <w:rFonts w:ascii="Times New Roman" w:cs="Times New Roman" w:eastAsia="Times New Roman" w:hAnsi="Times New Roman"/>
          <w:b w:val="false"/>
          <w:bCs w:val="false"/>
          <w:i w:val="false"/>
          <w:iCs w:val="false"/>
          <w:sz w:val="24"/>
          <w:szCs w:val="24"/>
        </w:rPr>
        <w:t xml:space="preserve">El propietario del paciente (ATON) autorizó el uso de los datos clínicos y los resultados de laboratorio KSVDL para la elaboración y publicación de este reporte de caso. La identidad del propietario no es divulgada en el documento. Los registros originales están disponibles para revisión por parte de los editores mediante solicitud a la autora.</w:t>
      </w:r>
    </w:p>
    <w:p>
      <w:pPr>
        <w:spacing w:after="120" w:before="0" w:line="276"/>
        <w:jc w:val="both"/>
      </w:pPr>
      <w:r>
        <w:rPr>
          <w:rFonts w:ascii="Times New Roman" w:cs="Times New Roman" w:eastAsia="Times New Roman" w:hAnsi="Times New Roman"/>
          <w:b w:val="false"/>
          <w:bCs w:val="false"/>
          <w:i/>
          <w:iCs/>
          <w:sz w:val="24"/>
          <w:szCs w:val="24"/>
        </w:rPr>
        <w:t xml:space="preserve">The patient’s owner (ATON) authorized the use of clinical data and KSVDL laboratory results for the preparation and publication of this case report. The owner’s identity is not disclosed in this document. Original records are available for editorial review upon request to the corresponding author.</w:t>
      </w:r>
    </w:p>
    <w:p>
      <w:pPr>
        <w:pStyle w:val="Heading1"/>
        <w:spacing w:after="120" w:before="280" w:line="276"/>
        <w:jc w:val="left"/>
      </w:pPr>
      <w:r>
        <w:rPr>
          <w:rFonts w:ascii="Arial" w:cs="Arial" w:eastAsia="Arial" w:hAnsi="Arial"/>
          <w:b/>
          <w:bCs/>
          <w:i w:val="false"/>
          <w:iCs w:val="false"/>
          <w:sz w:val="28"/>
          <w:szCs w:val="28"/>
        </w:rPr>
        <w:t xml:space="preserve">Agradecimientos / Acknowledgements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Los autores agradecen la consultoría técnica del MV Víctor Jesús Camacho Paz, Coordinador Regional de Zoonosis — La Libertad, Perú, cuya orientación en materia de normativa zoosanitaria contribuyó a contextualizar el presente reporte.</w:t>
      </w:r>
    </w:p>
    <w:p>
      <w:pPr>
        <w:spacing w:after="120" w:before="0" w:line="276"/>
        <w:jc w:val="both"/>
      </w:pPr>
      <w:r>
        <w:rPr>
          <w:rFonts w:ascii="Times New Roman" w:cs="Times New Roman" w:eastAsia="Times New Roman" w:hAnsi="Times New Roman"/>
          <w:b w:val="false"/>
          <w:bCs w:val="false"/>
          <w:i/>
          <w:iCs/>
          <w:sz w:val="24"/>
          <w:szCs w:val="24"/>
        </w:rPr>
        <w:t xml:space="preserve">The authors acknowledge the technical consultancy of MV Víctor Jesús Camacho Paz, Regional Coordinator of Zoonoses — La Libertad, Perú, whose guidance on Peruvian veterinary regulatory frameworks contributed to contextualizing this report.</w:t>
      </w:r>
    </w:p>
    <w:p>
      <w:pPr>
        <w:spacing w:after="120" w:before="0" w:line="276"/>
        <w:jc w:val="both"/>
      </w:pPr>
      <w:r>
        <w:br w:type="page"/>
      </w:r>
    </w:p>
    <w:p>
      <w:pPr>
        <w:pStyle w:val="Heading1"/>
        <w:spacing w:after="120" w:before="280" w:line="276"/>
        <w:jc w:val="left"/>
      </w:pPr>
      <w:r>
        <w:rPr>
          <w:rFonts w:ascii="Arial" w:cs="Arial" w:eastAsia="Arial" w:hAnsi="Arial"/>
          <w:b/>
          <w:bCs/>
          <w:i w:val="false"/>
          <w:iCs w:val="false"/>
          <w:sz w:val="28"/>
          <w:szCs w:val="28"/>
        </w:rPr>
        <w:t xml:space="preserve">Referencias / References</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Belanger, J. M., et al. (2025). Factors associated with adequate rabies virus neutralizing antibody titers in dogs tested at a USDA-approved laboratory. Preventive Veterinary Medicine.</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Camacho García, J. Y. (2026c). Zoovet Travel FAVN Case Repository [Dataset]. Veterinaria Zoovet Travel. https://doi.org/10.5281/zenodo.20311995</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CDC. (2024). Requirements for dogs imported into the United States. Centers for Disease Control and Prevention. https://www.cdc.gov/importation/dogs/</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Chuquista-Alcarraz, R. P., et al. (2023). Evaluación de la respuesta serológica a la vacuna antirrábica en caninos domésticos en Lima, Perú. Revista de Investigaciones Veterinarias del Perú.</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Cliquet, F., Aubert, M., &amp; Sagné, L. (1998). Development of a fluorescent antibody virus neutralisation test (FAVN test) for the quantitation of rabies-neutralising antibody. Journal of Immunological Methods, 212(1), 79–87. https://doi.org/10.1016/S0022-1759(97)00212-3</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Comisión Europea. (2013). Reglamento (UE) N.° 576/2013 del Parlamento Europeo y del Consejo, de 12 de junio de 2013, relativo al movimiento sin carácter comercial de animales de compañía. Diario Oficial de la Unión Europea. https://eur-lex.europa.eu/legal-content/ES/TXT/?uri=CELEX%3A32013R0576</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Hampson, K., Coudeville, L., Lembo, T., Sambo, M., Kieffer, A., Attlan, M., Barrat, J., Blanton, J. D., Briggs, D. J., Cleaveland, S., Costa, P., Freuling, C. M., Hiby, E., Knopf, L., Leanes, F., Meslin, F.-X., Metlin, A., Miranda, M. E., Müller, T., … Dürr, S. (2015). Estimating the global burden of endemic canine rabies. PLOS Neglected Tropical Diseases, 9(4), e0003709. https://doi.org/10.1371/journal.pntd.0003709</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McElhinney, L. M., Brookes, S. M., &amp; Fooks, A. R. (2026). Evaluation of rabies antibody responses in dogs vaccinated under accelerated immunisation protocols. Vaccine.</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Wallace, R. M., Pees, A., Blanton, J. D., Moore, S. M., Tremayne-Lloyd, T., &amp; Zaidel, L. (2017). Risk factors for inadequate antibody response to primary rabies vaccination in dogs under one year. PLOS Neglected Tropical Diseases, 11(7), e0005787. https://doi.org/10.1371/journal.pntd.0005787</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WHO. (2023). Rabies. World Health Organization. https://www.who.int/news-room/fact-sheets/detail/rabies</w:t>
      </w:r>
    </w:p>
    <w:p>
      <w:pPr>
        <w:spacing w:after="80" w:before="0" w:line="276"/>
        <w:ind w:left="720" w:hanging="720"/>
        <w:jc w:val="both"/>
      </w:pPr>
      <w:r>
        <w:rPr>
          <w:rFonts w:ascii="Times New Roman" w:cs="Times New Roman" w:eastAsia="Times New Roman" w:hAnsi="Times New Roman"/>
          <w:b w:val="false"/>
          <w:bCs w:val="false"/>
          <w:i w:val="false"/>
          <w:iCs w:val="false"/>
          <w:sz w:val="22"/>
          <w:szCs w:val="22"/>
        </w:rPr>
        <w:t xml:space="preserve">WOAH. (2023). Terrestrial Animal Health Code — Chapter 8.14: Infection with Rabies Virus. World Organisation for Animal Health. https://www.woah.org/en/what-we-do/standards/codes-and-manuals/terrestrial-code-online-access/?id=169&amp;L=1&amp;htmfile=chapitre_rabies.htm</w:t>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0" w:before="0" w:line="276"/>
        <w:jc w:val="both"/>
      </w:pPr>
      <w:r>
        <w:rPr>
          <w:rFonts w:ascii="Times New Roman" w:cs="Times New Roman" w:eastAsia="Times New Roman" w:hAnsi="Times New Roman"/>
          <w:b w:val="false"/>
          <w:bCs w:val="false"/>
          <w:i w:val="false"/>
          <w:iCs w:val="false"/>
          <w:sz w:val="24"/>
          <w:szCs w:val="24"/>
        </w:rPr>
        <w:t xml:space="preserve"/>
      </w:r>
    </w:p>
    <w:p>
      <w:pPr>
        <w:spacing w:after="120" w:before="0" w:line="276"/>
        <w:jc w:val="center"/>
      </w:pPr>
      <w:r>
        <w:rPr>
          <w:rFonts w:ascii="Times New Roman" w:cs="Times New Roman" w:eastAsia="Times New Roman" w:hAnsi="Times New Roman"/>
          <w:b w:val="false"/>
          <w:bCs w:val="false"/>
          <w:i w:val="false"/>
          <w:iCs w:val="false"/>
          <w:color w:val="AAAAAA"/>
          <w:sz w:val="20"/>
          <w:szCs w:val="20"/>
        </w:rPr>
        <w:t xml:space="preserve">─────────────────────────────────────────────────────────────────────────────</w:t>
      </w:r>
    </w:p>
    <w:p>
      <w:pPr>
        <w:spacing w:after="120" w:before="60" w:line="276"/>
        <w:jc w:val="left"/>
      </w:pPr>
      <w:r>
        <w:rPr>
          <w:rFonts w:ascii="Times New Roman" w:cs="Times New Roman" w:eastAsia="Times New Roman" w:hAnsi="Times New Roman"/>
          <w:b w:val="false"/>
          <w:bCs w:val="false"/>
          <w:i/>
          <w:iCs/>
          <w:color w:val="C00000"/>
          <w:sz w:val="20"/>
          <w:szCs w:val="20"/>
        </w:rPr>
        <w:t xml:space="preserve">NOTA PARA REVISIÓN: Las entradas marcadas [DOI_PENDIENTE] requieren confirmación bibliográfica exacta (Belanger et al. 2025; Chuquista-Alcarraz et al. 2023; McElhinney et al. 2026). Las fechas exactas de D1 y D15 deben verificarse en registros clínicos antes de sumisión.</w:t>
      </w:r>
    </w:p>
    <w:p>
      <w:pPr>
        <w:spacing w:after="120" w:before="40" w:line="276"/>
        <w:jc w:val="left"/>
      </w:pPr>
      <w:r>
        <w:rPr>
          <w:rFonts w:ascii="Times New Roman" w:cs="Times New Roman" w:eastAsia="Times New Roman" w:hAnsi="Times New Roman"/>
          <w:b w:val="false"/>
          <w:bCs w:val="false"/>
          <w:i/>
          <w:iCs/>
          <w:color w:val="888888"/>
          <w:sz w:val="20"/>
          <w:szCs w:val="20"/>
        </w:rPr>
        <w:t xml:space="preserve">Borrador: May 2026 · Veterinaria Zoovet Travel · No distribuir sin autorización del autor.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right"/>
    </w:pPr>
    <w:r>
      <w:rPr>
        <w:rFonts w:ascii="Arial" w:cs="Arial" w:eastAsia="Arial" w:hAnsi="Arial"/>
        <w:b w:val="false"/>
        <w:bCs w:val="false"/>
        <w:i w:val="false"/>
        <w:iCs w:val="false"/>
        <w:color w:val="666666"/>
        <w:sz w:val="18"/>
        <w:szCs w:val="18"/>
      </w:rPr>
      <w:t xml:space="preserve">Camacho García, J.Y. (2026). Rabies antibody reconversion in Weimaraner following D1/D15/D30 protocol. Zoovet Travel Technical Series.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left"/>
    </w:pPr>
    <w:r>
      <w:rPr>
        <w:rFonts w:ascii="Arial" w:cs="Arial" w:eastAsia="Arial" w:hAnsi="Arial"/>
        <w:b w:val="false"/>
        <w:bCs w:val="false"/>
        <w:i w:val="false"/>
        <w:iCs w:val="false"/>
        <w:color w:val="666666"/>
        <w:sz w:val="18"/>
        <w:szCs w:val="18"/>
      </w:rPr>
      <w:t xml:space="preserve">ZOOVET TRAVEL TECHNICAL SERIES</w:t>
    </w:r>
    <w:r>
      <w:rPr>
        <w:rFonts w:ascii="Arial" w:cs="Arial" w:eastAsia="Arial" w:hAnsi="Arial"/>
        <w:b w:val="false"/>
        <w:bCs w:val="false"/>
        <w:i w:val="false"/>
        <w:iCs w:val="false"/>
        <w:color w:val="AAAAAA"/>
        <w:sz w:val="18"/>
        <w:szCs w:val="18"/>
      </w:rPr>
      <w:t xml:space="preserve">     |     ATON · R26-013079 / R26-030347     |     CONFIDENTIAL DRAFT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2026-05-20T15:20:32.309Z</dcterms:created>
  <dcterms:modified xsi:type="dcterms:W3CDTF">2026-05-20T15:20:32.316Z</dcterms:modified>
</cp:coreProperties>
</file>

<file path=docProps/custom.xml><?xml version="1.0" encoding="utf-8"?>
<Properties xmlns="http://schemas.openxmlformats.org/officeDocument/2006/custom-properties" xmlns:vt="http://schemas.openxmlformats.org/officeDocument/2006/docPropsVTypes"/>
</file>