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CF" w:rsidRDefault="00B74ACF">
      <w:r>
        <w:t>Que funciones utilizaremos</w:t>
      </w:r>
      <w:proofErr w:type="gramStart"/>
      <w:r>
        <w:t>?</w:t>
      </w:r>
      <w:proofErr w:type="gramEnd"/>
    </w:p>
    <w:p w:rsidR="00103F65" w:rsidRDefault="00AC1A6E">
      <w:hyperlink r:id="rId5" w:history="1">
        <w:r w:rsidR="00103F65">
          <w:rPr>
            <w:rStyle w:val="Hipervnculo"/>
          </w:rPr>
          <w:t>https://www.electronicwings.com/avr-atmega/atmega1632-timer</w:t>
        </w:r>
      </w:hyperlink>
    </w:p>
    <w:p w:rsidR="00103F65" w:rsidRDefault="00AC1A6E">
      <w:hyperlink r:id="rId6" w:history="1">
        <w:r w:rsidR="00103F65">
          <w:rPr>
            <w:rStyle w:val="Hipervnculo"/>
          </w:rPr>
          <w:t>https://www.electronicwings.com/avr-atmega/atmega1632-timer-input-capture-mode</w:t>
        </w:r>
      </w:hyperlink>
    </w:p>
    <w:p w:rsidR="00103F65" w:rsidRDefault="00AC1A6E">
      <w:hyperlink r:id="rId7" w:history="1">
        <w:r w:rsidR="00103F65">
          <w:rPr>
            <w:rStyle w:val="Hipervnculo"/>
          </w:rPr>
          <w:t>https://www.electronicwings.com/avr-atmega/atmega1632-pwm</w:t>
        </w:r>
      </w:hyperlink>
    </w:p>
    <w:p w:rsidR="00103F65" w:rsidRDefault="00AC1A6E">
      <w:hyperlink r:id="rId8" w:history="1">
        <w:r w:rsidR="00103F65">
          <w:rPr>
            <w:rStyle w:val="Hipervnculo"/>
          </w:rPr>
          <w:t>https://www.electronicwings.com/avr-atmega/atmega1632-watchdog-timer</w:t>
        </w:r>
      </w:hyperlink>
      <w:bookmarkStart w:id="0" w:name="_GoBack"/>
      <w:bookmarkEnd w:id="0"/>
    </w:p>
    <w:p w:rsidR="00B74ACF" w:rsidRPr="00B74ACF" w:rsidRDefault="00B74ACF">
      <w:pPr>
        <w:rPr>
          <w:b/>
        </w:rPr>
      </w:pPr>
      <w:r w:rsidRPr="00B74ACF">
        <w:rPr>
          <w:b/>
        </w:rPr>
        <w:t>SENSOR</w:t>
      </w:r>
      <w:r>
        <w:rPr>
          <w:b/>
        </w:rPr>
        <w:t xml:space="preserve">: </w:t>
      </w:r>
      <w:r w:rsidRPr="00B74ACF">
        <w:rPr>
          <w:b/>
        </w:rPr>
        <w:t>SENSOR DE DETECCIÓN DE OBSTÁCULO POR INFRARROJO, UTILIZAREMOS</w:t>
      </w:r>
    </w:p>
    <w:p w:rsidR="00B74ACF" w:rsidRDefault="00B74ACF">
      <w:proofErr w:type="spellStart"/>
      <w:r w:rsidRPr="00E5617B">
        <w:t>DDrx</w:t>
      </w:r>
      <w:proofErr w:type="spellEnd"/>
      <w:r w:rsidRPr="00E5617B">
        <w:t xml:space="preserve"> Para decidir si el registro a utilizar será una entrada o será una salida</w:t>
      </w:r>
      <w:r w:rsidR="00E5617B">
        <w:t>.</w:t>
      </w:r>
    </w:p>
    <w:p w:rsidR="00E5617B" w:rsidRPr="00E5617B" w:rsidRDefault="00E5617B">
      <w:r>
        <w:t>PIN: Para saber el estado del canal. Para usarlo con el actuador.</w:t>
      </w:r>
    </w:p>
    <w:p w:rsidR="00B74ACF" w:rsidRPr="00E5617B" w:rsidRDefault="00E5617B">
      <w:r w:rsidRPr="00E5617B">
        <w:t xml:space="preserve">PORT: </w:t>
      </w:r>
      <w:r>
        <w:t xml:space="preserve">Para </w:t>
      </w:r>
      <w:proofErr w:type="spellStart"/>
      <w:r>
        <w:t>setear</w:t>
      </w:r>
      <w:proofErr w:type="spellEnd"/>
      <w:r>
        <w:t xml:space="preserve"> un </w:t>
      </w:r>
      <w:proofErr w:type="spellStart"/>
      <w:r>
        <w:t>high</w:t>
      </w:r>
      <w:proofErr w:type="spellEnd"/>
      <w:r>
        <w:t xml:space="preserve"> o </w:t>
      </w:r>
      <w:proofErr w:type="spellStart"/>
      <w:r>
        <w:t>low</w:t>
      </w:r>
      <w:proofErr w:type="spellEnd"/>
      <w:r>
        <w:t xml:space="preserve"> en la salida y un </w:t>
      </w:r>
      <w:proofErr w:type="spellStart"/>
      <w:r>
        <w:t>pull</w:t>
      </w:r>
      <w:proofErr w:type="spellEnd"/>
      <w:r>
        <w:t xml:space="preserve"> up en la entrada.</w:t>
      </w:r>
    </w:p>
    <w:p w:rsidR="00B74ACF" w:rsidRDefault="00B74ACF">
      <w:r w:rsidRPr="00B74ACF">
        <w:rPr>
          <w:b/>
        </w:rPr>
        <w:t>Una entrada:</w:t>
      </w:r>
      <w:r>
        <w:t xml:space="preserve"> Para recibir la señal digital. 1 si la mano esta debajo y 0 cuando no.</w:t>
      </w:r>
    </w:p>
    <w:p w:rsidR="00B74ACF" w:rsidRDefault="00B74ACF">
      <w:r w:rsidRPr="00B74ACF">
        <w:rPr>
          <w:b/>
        </w:rPr>
        <w:t>Una salida:</w:t>
      </w:r>
      <w:r>
        <w:t xml:space="preserve"> Para encender un Led verde, cuando se reciba una señal HIGH o de uno, en esa entrada.</w:t>
      </w:r>
    </w:p>
    <w:p w:rsidR="00B74ACF" w:rsidRDefault="00B74ACF"/>
    <w:p w:rsidR="00B74ACF" w:rsidRDefault="00B74ACF">
      <w:pPr>
        <w:rPr>
          <w:b/>
        </w:rPr>
      </w:pPr>
      <w:r w:rsidRPr="00B74ACF">
        <w:rPr>
          <w:b/>
        </w:rPr>
        <w:t>Actuador</w:t>
      </w:r>
      <w:r>
        <w:rPr>
          <w:b/>
        </w:rPr>
        <w:t>: Bomba dc 5v</w:t>
      </w:r>
    </w:p>
    <w:p w:rsidR="00B74ACF" w:rsidRPr="00E5617B" w:rsidRDefault="00B74ACF">
      <w:proofErr w:type="spellStart"/>
      <w:r w:rsidRPr="00E5617B">
        <w:t>DDrx</w:t>
      </w:r>
      <w:proofErr w:type="spellEnd"/>
      <w:r w:rsidRPr="00E5617B">
        <w:t xml:space="preserve"> Para decidir si el registro a utilizar será una entrada o será una salida</w:t>
      </w:r>
    </w:p>
    <w:p w:rsidR="00E5617B" w:rsidRPr="00E5617B" w:rsidRDefault="00E5617B">
      <w:r w:rsidRPr="00E5617B">
        <w:t xml:space="preserve">PIN: Para poder informarle a la función </w:t>
      </w:r>
      <w:proofErr w:type="spellStart"/>
      <w:r w:rsidRPr="00E5617B">
        <w:t>timer</w:t>
      </w:r>
      <w:proofErr w:type="spellEnd"/>
      <w:r w:rsidRPr="00E5617B">
        <w:t xml:space="preserve"> cuando se haya efectuado o no la acción.</w:t>
      </w:r>
    </w:p>
    <w:p w:rsidR="00E5617B" w:rsidRPr="00E5617B" w:rsidRDefault="00E5617B" w:rsidP="00E5617B">
      <w:r w:rsidRPr="00E5617B">
        <w:t xml:space="preserve">PORT: Para </w:t>
      </w:r>
      <w:proofErr w:type="spellStart"/>
      <w:r w:rsidRPr="00E5617B">
        <w:t>setear</w:t>
      </w:r>
      <w:proofErr w:type="spellEnd"/>
      <w:r w:rsidRPr="00E5617B">
        <w:t xml:space="preserve"> un </w:t>
      </w:r>
      <w:proofErr w:type="spellStart"/>
      <w:r w:rsidRPr="00E5617B">
        <w:t>high</w:t>
      </w:r>
      <w:proofErr w:type="spellEnd"/>
      <w:r w:rsidRPr="00E5617B">
        <w:t xml:space="preserve"> o </w:t>
      </w:r>
      <w:proofErr w:type="spellStart"/>
      <w:r w:rsidRPr="00E5617B">
        <w:t>low</w:t>
      </w:r>
      <w:proofErr w:type="spellEnd"/>
      <w:r w:rsidRPr="00E5617B">
        <w:t xml:space="preserve"> en la salida y un </w:t>
      </w:r>
      <w:proofErr w:type="spellStart"/>
      <w:r w:rsidRPr="00E5617B">
        <w:t>pull</w:t>
      </w:r>
      <w:proofErr w:type="spellEnd"/>
      <w:r w:rsidRPr="00E5617B">
        <w:t xml:space="preserve"> up en la entrada.</w:t>
      </w:r>
    </w:p>
    <w:p w:rsidR="00B74ACF" w:rsidRPr="00B74ACF" w:rsidRDefault="00B74ACF">
      <w:pPr>
        <w:rPr>
          <w:b/>
        </w:rPr>
      </w:pPr>
    </w:p>
    <w:p w:rsidR="00411071" w:rsidRDefault="00774D05">
      <w:r>
        <w:t>Vamos a utilizar la función ADC</w:t>
      </w:r>
    </w:p>
    <w:p w:rsidR="00774D05" w:rsidRDefault="00774D05">
      <w:r>
        <w:t>ADCH, ADCL, ADMUX y ADCSRA</w:t>
      </w:r>
    </w:p>
    <w:p w:rsidR="00722DD7" w:rsidRDefault="00722DD7"/>
    <w:p w:rsidR="00774D05" w:rsidRDefault="00774D05">
      <w:pPr>
        <w:rPr>
          <w:u w:val="single" w:color="FF0000"/>
        </w:rPr>
      </w:pPr>
      <w:r>
        <w:t xml:space="preserve">Lemos </w:t>
      </w:r>
      <w:r w:rsidRPr="00774D05">
        <w:rPr>
          <w:u w:val="single" w:color="FF0000"/>
        </w:rPr>
        <w:t>ADCL</w:t>
      </w:r>
      <w:r>
        <w:t xml:space="preserve"> primero que </w:t>
      </w:r>
      <w:r w:rsidRPr="00774D05">
        <w:rPr>
          <w:u w:val="single" w:color="FF0000"/>
        </w:rPr>
        <w:t>ADCH</w:t>
      </w:r>
    </w:p>
    <w:p w:rsidR="00722DD7" w:rsidRPr="00774D05" w:rsidRDefault="00722DD7">
      <w:pPr>
        <w:rPr>
          <w:u w:val="single" w:color="FF0000"/>
        </w:rPr>
      </w:pPr>
    </w:p>
    <w:p w:rsidR="00722DD7" w:rsidRDefault="00774D05">
      <w:r>
        <w:t xml:space="preserve">En el </w:t>
      </w:r>
      <w:r w:rsidRPr="00774D05">
        <w:rPr>
          <w:u w:val="single" w:color="FF0000"/>
        </w:rPr>
        <w:t>ADMUX</w:t>
      </w:r>
      <w:r>
        <w:t xml:space="preserve"> </w:t>
      </w:r>
    </w:p>
    <w:p w:rsidR="00774D05" w:rsidRDefault="00722DD7">
      <w:r>
        <w:t>Utilizaremos</w:t>
      </w:r>
      <w:r w:rsidR="00774D05">
        <w:t xml:space="preserve"> el voltaje AVCC o sea que configurará el REF 1:0 asi:”01”</w:t>
      </w:r>
    </w:p>
    <w:p w:rsidR="00774D05" w:rsidRDefault="00774D05">
      <w:r>
        <w:t>ADLAR en 0</w:t>
      </w:r>
    </w:p>
    <w:p w:rsidR="00774D05" w:rsidRDefault="00774D05">
      <w:r>
        <w:t xml:space="preserve">Y Seleccionamos el canal, utilizaremos el 1 o sea que configuramos el MUX 4:0 </w:t>
      </w:r>
      <w:r w:rsidR="00722DD7">
        <w:t>así</w:t>
      </w:r>
      <w:r>
        <w:t>: “00001”</w:t>
      </w:r>
    </w:p>
    <w:p w:rsidR="00722DD7" w:rsidRDefault="00722DD7"/>
    <w:p w:rsidR="00774D05" w:rsidRPr="00722DD7" w:rsidRDefault="00774D05">
      <w:pPr>
        <w:rPr>
          <w:u w:val="single" w:color="FF0000"/>
        </w:rPr>
      </w:pPr>
      <w:r w:rsidRPr="00722DD7">
        <w:rPr>
          <w:u w:val="single" w:color="FF0000"/>
        </w:rPr>
        <w:t>En el Registro ADCSRA</w:t>
      </w:r>
    </w:p>
    <w:p w:rsidR="00774D05" w:rsidRDefault="00774D05">
      <w:r>
        <w:t>El ADEN va en 1, lo cual activa el ADC</w:t>
      </w:r>
    </w:p>
    <w:p w:rsidR="00774D05" w:rsidRDefault="00774D05">
      <w:r>
        <w:t>El ADCSC lo dejamos en 0, para que aun no se active la conversión</w:t>
      </w:r>
    </w:p>
    <w:p w:rsidR="00774D05" w:rsidRDefault="00774D05">
      <w:r>
        <w:t xml:space="preserve">El ADATE en 0 </w:t>
      </w:r>
      <w:r w:rsidR="00722DD7">
        <w:t>también</w:t>
      </w:r>
    </w:p>
    <w:p w:rsidR="00774D05" w:rsidRDefault="00774D05">
      <w:r>
        <w:t>ADIF, cero por el momento</w:t>
      </w:r>
    </w:p>
    <w:p w:rsidR="00774D05" w:rsidRDefault="00722DD7">
      <w:r>
        <w:t>ADPS, utilizaremos 64 como factor de</w:t>
      </w:r>
      <w:r w:rsidR="00774D05">
        <w:t xml:space="preserve"> división, es decir que se configurará ADPS 2:0 </w:t>
      </w:r>
      <w:r>
        <w:t>así</w:t>
      </w:r>
      <w:r w:rsidR="00774D05">
        <w:t>: “</w:t>
      </w:r>
      <w:r>
        <w:t>110”</w:t>
      </w:r>
      <w:r w:rsidR="00774D05">
        <w:t xml:space="preserve"> </w:t>
      </w:r>
      <w:r>
        <w:t xml:space="preserve"> para que nuestro pre-escalado sea 125 kHz, que está dentro del rango adecuado.</w:t>
      </w:r>
    </w:p>
    <w:p w:rsidR="00722DD7" w:rsidRDefault="00722DD7"/>
    <w:p w:rsidR="001F332A" w:rsidRDefault="001F332A"/>
    <w:p w:rsidR="001F332A" w:rsidRDefault="001F332A"/>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t xml:space="preserve">Bomba </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Flujo: 1,5-2,0 l/min.</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Diámetro interior de la salida: 0.236 in; Diámetro exterior de la salida: 0.354 in.</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Distancia máxima de elevación de succión: 6.6 ft; Distancia máxima de elevación: 9.8 ft.</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Potencia: CC 6 V-12 V (se recomienda utilizar 9 V1 A, 12 V1 A), corriente 1 A.</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Uso: tanque de agua circulante diario, cambio de tanque de agua, té, riego automático regular, extracción de gas, bombeo, lavado, refrigeración de agua, botellas de agua automáticas, modelo de camión de bomberos para niños, limpiaparabrisas, aspersor automático y otras unidades de campo.</w:t>
      </w:r>
    </w:p>
    <w:p w:rsidR="001F332A" w:rsidRDefault="00F11BD5">
      <w:r>
        <w:rPr>
          <w:noProof/>
          <w:lang w:eastAsia="es-PA"/>
        </w:rPr>
        <w:drawing>
          <wp:inline distT="0" distB="0" distL="0" distR="0" wp14:anchorId="565D7971" wp14:editId="37288288">
            <wp:extent cx="3019245" cy="296398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43" t="19146" r="54502" b="8121"/>
                    <a:stretch/>
                  </pic:blipFill>
                  <pic:spPr bwMode="auto">
                    <a:xfrm>
                      <a:off x="0" y="0"/>
                      <a:ext cx="3024670" cy="2969310"/>
                    </a:xfrm>
                    <a:prstGeom prst="rect">
                      <a:avLst/>
                    </a:prstGeom>
                    <a:ln>
                      <a:noFill/>
                    </a:ln>
                    <a:extLst>
                      <a:ext uri="{53640926-AAD7-44D8-BBD7-CCE9431645EC}">
                        <a14:shadowObscured xmlns:a14="http://schemas.microsoft.com/office/drawing/2010/main"/>
                      </a:ext>
                    </a:extLst>
                  </pic:spPr>
                </pic:pic>
              </a:graphicData>
            </a:graphic>
          </wp:inline>
        </w:drawing>
      </w:r>
    </w:p>
    <w:p w:rsidR="001F332A" w:rsidRDefault="001F332A"/>
    <w:sectPr w:rsidR="001F332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864A3"/>
    <w:multiLevelType w:val="multilevel"/>
    <w:tmpl w:val="227E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05"/>
    <w:rsid w:val="00053E65"/>
    <w:rsid w:val="000B39A1"/>
    <w:rsid w:val="00103F65"/>
    <w:rsid w:val="00105339"/>
    <w:rsid w:val="001163AB"/>
    <w:rsid w:val="001D01FB"/>
    <w:rsid w:val="001F332A"/>
    <w:rsid w:val="002E1634"/>
    <w:rsid w:val="00322E96"/>
    <w:rsid w:val="00411071"/>
    <w:rsid w:val="00550A21"/>
    <w:rsid w:val="00677C51"/>
    <w:rsid w:val="00722DD7"/>
    <w:rsid w:val="00774D05"/>
    <w:rsid w:val="00856D6D"/>
    <w:rsid w:val="009B31BD"/>
    <w:rsid w:val="00AC1A6E"/>
    <w:rsid w:val="00B74ACF"/>
    <w:rsid w:val="00D21B96"/>
    <w:rsid w:val="00DA6DEC"/>
    <w:rsid w:val="00E5617B"/>
    <w:rsid w:val="00E77AC0"/>
    <w:rsid w:val="00EC10D3"/>
    <w:rsid w:val="00ED4AF8"/>
    <w:rsid w:val="00F11BD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F13B0-9652-4AC8-9556-3800CE00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33333"/>
        <w:sz w:val="24"/>
        <w:szCs w:val="24"/>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list-item">
    <w:name w:val="a-list-item"/>
    <w:basedOn w:val="Fuentedeprrafopredeter"/>
    <w:rsid w:val="00F11BD5"/>
  </w:style>
  <w:style w:type="character" w:styleId="Hipervnculo">
    <w:name w:val="Hyperlink"/>
    <w:basedOn w:val="Fuentedeprrafopredeter"/>
    <w:uiPriority w:val="99"/>
    <w:semiHidden/>
    <w:unhideWhenUsed/>
    <w:rsid w:val="00103F65"/>
    <w:rPr>
      <w:color w:val="0000FF"/>
      <w:u w:val="single"/>
    </w:rPr>
  </w:style>
  <w:style w:type="character" w:styleId="Hipervnculovisitado">
    <w:name w:val="FollowedHyperlink"/>
    <w:basedOn w:val="Fuentedeprrafopredeter"/>
    <w:uiPriority w:val="99"/>
    <w:semiHidden/>
    <w:unhideWhenUsed/>
    <w:rsid w:val="001D0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1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wings.com/avr-atmega/atmega1632-watchdog-timer" TargetMode="External"/><Relationship Id="rId3" Type="http://schemas.openxmlformats.org/officeDocument/2006/relationships/settings" Target="settings.xml"/><Relationship Id="rId7" Type="http://schemas.openxmlformats.org/officeDocument/2006/relationships/hyperlink" Target="https://www.electronicwings.com/avr-atmega/atmega1632-pw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icwings.com/avr-atmega/atmega1632-timer-input-capture-mode" TargetMode="External"/><Relationship Id="rId11" Type="http://schemas.openxmlformats.org/officeDocument/2006/relationships/theme" Target="theme/theme1.xml"/><Relationship Id="rId5" Type="http://schemas.openxmlformats.org/officeDocument/2006/relationships/hyperlink" Target="https://www.electronicwings.com/avr-atmega/atmega1632-tim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2</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Serracín</dc:creator>
  <cp:keywords/>
  <dc:description/>
  <cp:lastModifiedBy>Carlos Serracín</cp:lastModifiedBy>
  <cp:revision>4</cp:revision>
  <dcterms:created xsi:type="dcterms:W3CDTF">2020-06-14T21:19:00Z</dcterms:created>
  <dcterms:modified xsi:type="dcterms:W3CDTF">2020-06-15T23:48:00Z</dcterms:modified>
</cp:coreProperties>
</file>