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jc w:val="center"/>
      </w:pPr>
      <w:r>
        <w:rPr>
          <w:rFonts w:ascii="Arial" w:hAnsi="Arial" w:eastAsia="Arial" w:cs="Arial"/>
          <w:b/>
          <w:color w:val="002060"/>
          <w:sz w:val="40"/>
          <w:lang w:val="es-CO" w:eastAsia="es-CO"/>
        </w:rPr>
        <w:t>PrediRuta - Sistema predictivo de riesgo vial basado en siniestralidad histórica y pronóstico climático</w:t>
      </w:r>
    </w:p>
    <w:p>
      <w:pPr>
        <w:spacing w:after="140"/>
        <w:jc w:val="center"/>
      </w:pPr>
      <w:r>
        <w:rPr>
          <w:rFonts w:ascii="Arial" w:hAnsi="Arial" w:eastAsia="Arial" w:cs="Arial"/>
          <w:b/>
          <w:color w:val="002060"/>
          <w:sz w:val="32"/>
          <w:lang w:val="es-CO" w:eastAsia="es-CO"/>
        </w:rPr>
        <w:t>Reporte de implementación y experimentos</w:t>
      </w:r>
    </w:p>
    <w:p>
      <w:pPr>
        <w:spacing w:after="260"/>
        <w:jc w:val="center"/>
      </w:pPr>
      <w:r>
        <w:rPr>
          <w:rFonts w:ascii="Arial" w:hAnsi="Arial" w:eastAsia="Arial" w:cs="Arial"/>
          <w:b/>
          <w:color w:val="000000"/>
          <w:sz w:val="22"/>
          <w:lang w:val="es-CO" w:eastAsia="es-CO"/>
        </w:rPr>
        <w:t xml:space="preserve">Presentado por: </w:t>
      </w:r>
      <w:r>
        <w:rPr>
          <w:rFonts w:ascii="Arial" w:hAnsi="Arial" w:eastAsia="Arial" w:cs="Arial"/>
          <w:color w:val="000000"/>
          <w:sz w:val="22"/>
          <w:lang w:val="es-CO" w:eastAsia="es-CO"/>
        </w:rPr>
        <w:t>Lizeth García, Carlos Silva y Leonardo Guzman</w:t>
      </w:r>
    </w:p>
    <w:p>
      <w:pPr>
        <w:pStyle w:val="Heading1"/>
        <w:jc w:val="left"/>
      </w:pPr>
      <w:r>
        <w:rPr>
          <w:lang w:val="es-CO" w:eastAsia="es-CO"/>
        </w:rPr>
        <w:t>1. Resumen del proyecto</w:t>
      </w:r>
    </w:p>
    <w:p>
      <w:pPr>
        <w:keepNext w:val="0"/>
        <w:spacing w:after="120" w:line="276" w:lineRule="auto"/>
        <w:jc w:val="both"/>
      </w:pPr>
      <w:r>
        <w:rPr>
          <w:rFonts w:ascii="Arial" w:hAnsi="Arial" w:eastAsia="Arial" w:cs="Arial"/>
          <w:color w:val="172033"/>
          <w:sz w:val="22"/>
          <w:lang w:val="es-CO" w:eastAsia="es-CO"/>
        </w:rPr>
        <w:t>PrediRuta es un sistema predictivo de riesgo vial que busca estimar la criticidad relativa de los tramos de una ruta dentro de Bogotá. El proyecto combina patrones históricos de siniestralidad, características espaciales y temporales del recorrido y, cuando su aporte pueda demostrarse, información meteorológica. El resultado se presentará como una lectura informativa de la ruta y no como una probabilidad individual de accidente, una recomendación de conducción o una selección automática de rutas alternativas.</w:t>
      </w:r>
    </w:p>
    <w:p>
      <w:pPr>
        <w:keepNext w:val="0"/>
        <w:spacing w:after="120" w:line="276" w:lineRule="auto"/>
        <w:jc w:val="both"/>
      </w:pPr>
      <w:r>
        <w:rPr>
          <w:rFonts w:ascii="Arial" w:hAnsi="Arial" w:eastAsia="Arial" w:cs="Arial"/>
          <w:color w:val="172033"/>
          <w:sz w:val="22"/>
          <w:lang w:val="es-CO" w:eastAsia="es-CO"/>
        </w:rPr>
        <w:t>Durante las semanas 3, 4 y 5 se completó la preparación de los datos y se desarrollaron tres líneas de modelado. La primera identifica patrones recurrentes de ocurrencia por zona, mes, día y hora. La segunda estima el estado de un actor vial cuando ya se encuentra involucrado en un accidente. La tercera clasifica el tipo de accidente entre atropello, choque y otros. En los tres casos se compararon regresión logística, Random Forest, XGBoost y una red neuronal MLP, utilizando métricas acordes con el desbalance de las variables objetivo.</w:t>
      </w:r>
    </w:p>
    <w:p>
      <w:pPr>
        <w:keepNext w:val="0"/>
        <w:spacing w:after="120" w:line="276" w:lineRule="auto"/>
        <w:jc w:val="both"/>
      </w:pPr>
      <w:r>
        <w:rPr>
          <w:rFonts w:ascii="Arial" w:hAnsi="Arial" w:eastAsia="Arial" w:cs="Arial"/>
          <w:color w:val="172033"/>
          <w:sz w:val="22"/>
          <w:lang w:val="es-CO" w:eastAsia="es-CO"/>
        </w:rPr>
        <w:t>Este reporte describe las pruebas de calidad y los tratamientos aplicados a los datos, el proceso de selección de variables y ajuste de hiperparámetros, los resultados obtenidos y los cambios que todavía se requieren antes de la integración final. También se presenta el plan de implementación para las semanas 6, 7 y 8, incluyendo la integración con la interfaz, las pruebas de los requerimientos definidos en la primera entrega y la preparación del video final.</w:t>
      </w:r>
    </w:p>
    <w:p>
      <w:pPr>
        <w:pStyle w:val="Heading2"/>
        <w:jc w:val="left"/>
      </w:pPr>
      <w:r>
        <w:rPr>
          <w:lang w:val="es-CO" w:eastAsia="es-CO"/>
        </w:rPr>
        <w:t>1.1. Diseño analítico implementado</w:t>
      </w:r>
    </w:p>
    <w:p>
      <w:pPr>
        <w:keepNext w:val="0"/>
        <w:spacing w:after="120" w:line="276" w:lineRule="auto"/>
        <w:jc w:val="both"/>
      </w:pPr>
      <w:r>
        <w:rPr>
          <w:rFonts w:ascii="Arial" w:hAnsi="Arial" w:eastAsia="Arial" w:cs="Arial"/>
          <w:color w:val="172033"/>
          <w:sz w:val="22"/>
          <w:lang w:val="es-CO" w:eastAsia="es-CO"/>
        </w:rPr>
        <w:t>El diseño planteado organiza los datos en tres objetivos relacionados, pero con unidades de análisis diferentes. Esta separación se conserva en los notebooks para evitar que la información de actores o consecuencias posteriores al accidente se utilice para estimar la ocurrencia del evento. La figura resume las tres líneas evaluadas y las familias de modelos consideradas.</w:t>
      </w:r>
    </w:p>
    <w:p>
      <w:pPr>
        <w:keepNext/>
        <w:spacing w:before="40" w:after="20"/>
        <w:jc w:val="center"/>
      </w:pPr>
      <w:r>
        <w:drawing>
          <wp:inline xmlns:a="http://schemas.openxmlformats.org/drawingml/2006/main" xmlns:pic="http://schemas.openxmlformats.org/drawingml/2006/picture">
            <wp:extent cx="5760720" cy="3953768"/>
            <wp:docPr id="1" name="Picture 1" descr="Diagrama con los tres modelos de PrediRuta: ocurrencia de accidente, clase de accidente y estado del actor vial."/>
            <wp:cNvGraphicFramePr>
              <a:graphicFrameLocks noChangeAspect="1"/>
            </wp:cNvGraphicFramePr>
            <a:graphic>
              <a:graphicData uri="http://schemas.openxmlformats.org/drawingml/2006/picture">
                <pic:pic>
                  <pic:nvPicPr>
                    <pic:cNvPr id="0" name="codex-clipboard-c97638f4-2149-4885-951e-c3864e80838a.png"/>
                    <pic:cNvPicPr/>
                  </pic:nvPicPr>
                  <pic:blipFill>
                    <a:blip r:embed="rId10"/>
                    <a:stretch>
                      <a:fillRect/>
                    </a:stretch>
                  </pic:blipFill>
                  <pic:spPr>
                    <a:xfrm>
                      <a:off x="0" y="0"/>
                      <a:ext cx="5760720" cy="3953768"/>
                    </a:xfrm>
                    <a:prstGeom prst="rect"/>
                  </pic:spPr>
                </pic:pic>
              </a:graphicData>
            </a:graphic>
          </wp:inline>
        </w:drawing>
      </w:r>
    </w:p>
    <w:p>
      <w:pPr>
        <w:pStyle w:val="Caption"/>
        <w:keepNext w:val="0"/>
        <w:jc w:val="center"/>
      </w:pPr>
      <w:r>
        <w:rPr>
          <w:rFonts w:ascii="Arial" w:hAnsi="Arial" w:eastAsia="Arial" w:cs="Arial"/>
          <w:i/>
          <w:color w:val="454C5B"/>
          <w:sz w:val="18"/>
          <w:lang w:val="es-CO" w:eastAsia="es-CO"/>
        </w:rPr>
        <w:t>Figura 1. Diseño de los modelos desarrollado para PrediRuta.</w:t>
      </w:r>
    </w:p>
    <w:p>
      <w:pPr>
        <w:pStyle w:val="Heading2"/>
        <w:jc w:val="left"/>
      </w:pPr>
      <w:r>
        <w:rPr>
          <w:lang w:val="es-CO" w:eastAsia="es-CO"/>
        </w:rPr>
        <w:t>1.2. Resultados principales</w:t>
      </w:r>
    </w:p>
    <w:p>
      <w:pPr>
        <w:keepNext/>
        <w:spacing w:after="100" w:line="276" w:lineRule="auto"/>
        <w:jc w:val="both"/>
      </w:pPr>
      <w:r>
        <w:rPr>
          <w:rFonts w:ascii="Arial" w:hAnsi="Arial" w:eastAsia="Arial" w:cs="Arial"/>
          <w:color w:val="172033"/>
          <w:sz w:val="22"/>
          <w:lang w:val="es-CO" w:eastAsia="es-CO"/>
        </w:rPr>
        <w:t>La siguiente tabla resume el resultado principal de cada notebook y la decisión que se adopta para el prototipo. Las cifras corresponden a los resultados almacenados en los notebooks revisados el 5 de septiembre de 2026.</w:t>
      </w:r>
    </w:p>
    <w:tbl>
      <w:tblPr>
        <w:tblW w:type="auto" w:w="0"/>
        <w:jc w:val="center"/>
        <w:tblLayout w:type="fixed"/>
        <w:tblLook w:firstColumn="1" w:firstRow="1" w:lastColumn="0" w:lastRow="0" w:noHBand="0" w:noVBand="1" w:val="04A0"/>
      </w:tblPr>
      <w:tblGrid>
        <w:gridCol w:w="3043"/>
        <w:gridCol w:w="3043"/>
        <w:gridCol w:w="3043"/>
      </w:tblGrid>
      <w:tr>
        <w:trPr>
          <w:tblHeader w:val="true"/>
          <w:cantSplit/>
        </w:trPr>
        <w:tc>
          <w:tcPr>
            <w:tcW w:type="dxa" w:w="1872"/>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Componente</w:t>
            </w:r>
          </w:p>
        </w:tc>
        <w:tc>
          <w:tcPr>
            <w:tcW w:type="dxa" w:w="3528"/>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Resultado principal</w:t>
            </w:r>
          </w:p>
        </w:tc>
        <w:tc>
          <w:tcPr>
            <w:tcW w:type="dxa" w:w="3730"/>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Decisión para el prototipo</w:t>
            </w:r>
          </w:p>
        </w:tc>
      </w:tr>
      <w:tr>
        <w:trPr>
          <w:cantSplit/>
        </w:trPr>
        <w:tc>
          <w:tcPr>
            <w:tcW w:type="dxa" w:w="187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7"/>
                <w:lang w:val="es-CO" w:eastAsia="es-CO"/>
              </w:rPr>
              <w:t>Ocurrencia</w:t>
            </w:r>
          </w:p>
        </w:tc>
        <w:tc>
          <w:tcPr>
            <w:tcW w:type="dxa" w:w="352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XGBoost sin clima alcanza ROC-AUC 0,8265, F1 0,8523 y balanced accuracy 0,7158.</w:t>
            </w:r>
          </w:p>
        </w:tc>
        <w:tc>
          <w:tcPr>
            <w:tcW w:type="dxa" w:w="373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Es el candidato para construir la criticidad relativa. Debe validarse con un corte temporal y exportarse antes de la integración.</w:t>
            </w:r>
          </w:p>
        </w:tc>
      </w:tr>
      <w:tr>
        <w:trPr>
          <w:cantSplit/>
        </w:trPr>
        <w:tc>
          <w:tcPr>
            <w:tcW w:type="dxa" w:w="187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7"/>
                <w:lang w:val="es-CO" w:eastAsia="es-CO"/>
              </w:rPr>
              <w:t>Estado del actor</w:t>
            </w:r>
          </w:p>
        </w:tc>
        <w:tc>
          <w:tcPr>
            <w:tcW w:type="dxa" w:w="352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XGBoost operativo sin clima obtiene F1 macro 0,5688 y ROC-AUC macro 0,8367 en la prueba temporal.</w:t>
            </w:r>
          </w:p>
        </w:tc>
        <w:tc>
          <w:tcPr>
            <w:tcW w:type="dxa" w:w="373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El pipeline está exportado. Su uso es complementario porque requiere información que no hace parte del formulario actual.</w:t>
            </w:r>
          </w:p>
        </w:tc>
      </w:tr>
      <w:tr>
        <w:trPr>
          <w:cantSplit/>
        </w:trPr>
        <w:tc>
          <w:tcPr>
            <w:tcW w:type="dxa" w:w="187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7"/>
                <w:lang w:val="es-CO" w:eastAsia="es-CO"/>
              </w:rPr>
              <w:t>Clase de accidente</w:t>
            </w:r>
          </w:p>
        </w:tc>
        <w:tc>
          <w:tcPr>
            <w:tcW w:type="dxa" w:w="352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XGBoost operativo obtiene F1 macro 0,3735 y balanced accuracy 0,3871 en la prueba temporal ejecutada.</w:t>
            </w:r>
          </w:p>
        </w:tc>
        <w:tc>
          <w:tcPr>
            <w:tcW w:type="dxa" w:w="373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Se conserva como experimento. El desempeño de las clases minoritarias no permite incorporarlo al MVP.</w:t>
            </w:r>
          </w:p>
        </w:tc>
      </w:tr>
      <w:tr>
        <w:trPr>
          <w:cantSplit/>
        </w:trPr>
        <w:tc>
          <w:tcPr>
            <w:tcW w:type="dxa" w:w="187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7"/>
                <w:lang w:val="es-CO" w:eastAsia="es-CO"/>
              </w:rPr>
              <w:t>Clima</w:t>
            </w:r>
          </w:p>
        </w:tc>
        <w:tc>
          <w:tcPr>
            <w:tcW w:type="dxa" w:w="352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Ningún modelo obtiene una mejora relativa de 5 % en la métrica principal al incorporar variables meteorológicas.</w:t>
            </w:r>
          </w:p>
        </w:tc>
        <w:tc>
          <w:tcPr>
            <w:tcW w:type="dxa" w:w="373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El pronóstico se mostrará como contexto y no modificará el cálculo de criticidad en esta fase.</w:t>
            </w:r>
          </w:p>
        </w:tc>
      </w:tr>
    </w:tbl>
    <w:p>
      <w:pPr>
        <w:spacing w:after="40"/>
      </w:pPr>
    </w:p>
    <w:p>
      <w:pPr>
        <w:pStyle w:val="Heading1"/>
        <w:jc w:val="left"/>
      </w:pPr>
      <w:r>
        <w:rPr>
          <w:lang w:val="es-CO" w:eastAsia="es-CO"/>
        </w:rPr>
        <w:t>2. Captura de datos</w:t>
      </w:r>
    </w:p>
    <w:p>
      <w:pPr>
        <w:pStyle w:val="Heading2"/>
        <w:jc w:val="left"/>
      </w:pPr>
      <w:r>
        <w:rPr>
          <w:lang w:val="es-CO" w:eastAsia="es-CO"/>
        </w:rPr>
        <w:t>2.1. Fuentes utilizadas</w:t>
      </w:r>
    </w:p>
    <w:p>
      <w:pPr>
        <w:keepNext w:val="0"/>
        <w:spacing w:after="120" w:line="276" w:lineRule="auto"/>
        <w:jc w:val="both"/>
      </w:pPr>
      <w:r>
        <w:rPr>
          <w:rFonts w:ascii="Arial" w:hAnsi="Arial" w:eastAsia="Arial" w:cs="Arial"/>
          <w:color w:val="172033"/>
          <w:sz w:val="22"/>
          <w:lang w:val="es-CO" w:eastAsia="es-CO"/>
        </w:rPr>
        <w:t>La captura de información parte de las tablas históricas publicadas por la Secretaría Distrital de Movilidad. El notebook de limpieza realiza un inventario inicial para conocer el volumen, la estructura y las llaves disponibles antes de transformar los archivos. La tabla ACCIDENTE constituye el núcleo temporal y espacial del análisis; las demás fuentes permiten incorporar información de vías, actores, vehículos y causas.</w:t>
      </w:r>
    </w:p>
    <w:p>
      <w:pPr>
        <w:keepNext/>
        <w:spacing w:after="100" w:line="276" w:lineRule="auto"/>
        <w:jc w:val="both"/>
      </w:pPr>
      <w:r>
        <w:rPr>
          <w:rFonts w:ascii="Arial" w:hAnsi="Arial" w:eastAsia="Arial" w:cs="Arial"/>
          <w:color w:val="172033"/>
          <w:sz w:val="22"/>
          <w:lang w:val="es-CO" w:eastAsia="es-CO"/>
        </w:rPr>
        <w:t>El inventario registrado en el notebook contiene las siguientes fuentes originales:</w:t>
      </w:r>
    </w:p>
    <w:tbl>
      <w:tblPr>
        <w:tblW w:type="auto" w:w="0"/>
        <w:jc w:val="center"/>
        <w:tblLayout w:type="fixed"/>
        <w:tblLook w:firstColumn="1" w:firstRow="1" w:lastColumn="0" w:lastRow="0" w:noHBand="0" w:noVBand="1" w:val="04A0"/>
      </w:tblPr>
      <w:tblGrid>
        <w:gridCol w:w="2282"/>
        <w:gridCol w:w="2282"/>
        <w:gridCol w:w="2282"/>
        <w:gridCol w:w="2282"/>
      </w:tblGrid>
      <w:tr>
        <w:trPr>
          <w:tblHeader w:val="true"/>
          <w:cantSplit/>
        </w:trPr>
        <w:tc>
          <w:tcPr>
            <w:tcW w:type="dxa" w:w="1728"/>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Fuente</w:t>
            </w:r>
          </w:p>
        </w:tc>
        <w:tc>
          <w:tcPr>
            <w:tcW w:type="dxa" w:w="1224"/>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Filas</w:t>
            </w:r>
          </w:p>
        </w:tc>
        <w:tc>
          <w:tcPr>
            <w:tcW w:type="dxa" w:w="1080"/>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Columnas</w:t>
            </w:r>
          </w:p>
        </w:tc>
        <w:tc>
          <w:tcPr>
            <w:tcW w:type="dxa" w:w="5098"/>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Uso principal</w:t>
            </w:r>
          </w:p>
        </w:tc>
      </w:tr>
      <w:tr>
        <w:trPr>
          <w:cantSplit/>
        </w:trPr>
        <w:tc>
          <w:tcPr>
            <w:tcW w:type="dxa" w:w="172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7"/>
                <w:lang w:val="es-CO" w:eastAsia="es-CO"/>
              </w:rPr>
              <w:t>ACCIDENTE</w:t>
            </w:r>
          </w:p>
        </w:tc>
        <w:tc>
          <w:tcPr>
            <w:tcW w:type="dxa" w:w="122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904.476</w:t>
            </w:r>
          </w:p>
        </w:tc>
        <w:tc>
          <w:tcPr>
            <w:tcW w:type="dxa" w:w="108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23</w:t>
            </w:r>
          </w:p>
        </w:tc>
        <w:tc>
          <w:tcPr>
            <w:tcW w:type="dxa" w:w="509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Ubicación, fecha, hora, clase y gravedad del siniestro.</w:t>
            </w:r>
          </w:p>
        </w:tc>
      </w:tr>
      <w:tr>
        <w:trPr>
          <w:cantSplit/>
        </w:trPr>
        <w:tc>
          <w:tcPr>
            <w:tcW w:type="dxa" w:w="172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7"/>
                <w:lang w:val="es-CO" w:eastAsia="es-CO"/>
              </w:rPr>
              <w:t>ACTOR_VIAL</w:t>
            </w:r>
          </w:p>
        </w:tc>
        <w:tc>
          <w:tcPr>
            <w:tcW w:type="dxa" w:w="1224"/>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3.273.697</w:t>
            </w:r>
          </w:p>
        </w:tc>
        <w:tc>
          <w:tcPr>
            <w:tcW w:type="dxa" w:w="108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15</w:t>
            </w:r>
          </w:p>
        </w:tc>
        <w:tc>
          <w:tcPr>
            <w:tcW w:type="dxa" w:w="509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Estado, condición y características anonimizadas de los involucrados.</w:t>
            </w:r>
          </w:p>
        </w:tc>
      </w:tr>
      <w:tr>
        <w:trPr>
          <w:cantSplit/>
        </w:trPr>
        <w:tc>
          <w:tcPr>
            <w:tcW w:type="dxa" w:w="172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7"/>
                <w:lang w:val="es-CO" w:eastAsia="es-CO"/>
              </w:rPr>
              <w:t>LESIONADO</w:t>
            </w:r>
          </w:p>
        </w:tc>
        <w:tc>
          <w:tcPr>
            <w:tcW w:type="dxa" w:w="122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481.423</w:t>
            </w:r>
          </w:p>
        </w:tc>
        <w:tc>
          <w:tcPr>
            <w:tcW w:type="dxa" w:w="108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19</w:t>
            </w:r>
          </w:p>
        </w:tc>
        <w:tc>
          <w:tcPr>
            <w:tcW w:type="dxa" w:w="509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Fuente de contraste para validar el estado de los actores.</w:t>
            </w:r>
          </w:p>
        </w:tc>
      </w:tr>
      <w:tr>
        <w:trPr>
          <w:cantSplit/>
        </w:trPr>
        <w:tc>
          <w:tcPr>
            <w:tcW w:type="dxa" w:w="172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7"/>
                <w:lang w:val="es-CO" w:eastAsia="es-CO"/>
              </w:rPr>
              <w:t>MUERTO</w:t>
            </w:r>
          </w:p>
        </w:tc>
        <w:tc>
          <w:tcPr>
            <w:tcW w:type="dxa" w:w="1224"/>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15.890</w:t>
            </w:r>
          </w:p>
        </w:tc>
        <w:tc>
          <w:tcPr>
            <w:tcW w:type="dxa" w:w="108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21</w:t>
            </w:r>
          </w:p>
        </w:tc>
        <w:tc>
          <w:tcPr>
            <w:tcW w:type="dxa" w:w="509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Fuente de contraste para validar los fallecimientos.</w:t>
            </w:r>
          </w:p>
        </w:tc>
      </w:tr>
      <w:tr>
        <w:trPr>
          <w:cantSplit/>
        </w:trPr>
        <w:tc>
          <w:tcPr>
            <w:tcW w:type="dxa" w:w="172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7"/>
                <w:lang w:val="es-CO" w:eastAsia="es-CO"/>
              </w:rPr>
              <w:t>VEHICULO</w:t>
            </w:r>
          </w:p>
        </w:tc>
        <w:tc>
          <w:tcPr>
            <w:tcW w:type="dxa" w:w="122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2.808.440</w:t>
            </w:r>
          </w:p>
        </w:tc>
        <w:tc>
          <w:tcPr>
            <w:tcW w:type="dxa" w:w="108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10</w:t>
            </w:r>
          </w:p>
        </w:tc>
        <w:tc>
          <w:tcPr>
            <w:tcW w:type="dxa" w:w="509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Clase y servicio de los vehículos asociados.</w:t>
            </w:r>
          </w:p>
        </w:tc>
      </w:tr>
      <w:tr>
        <w:trPr>
          <w:cantSplit/>
        </w:trPr>
        <w:tc>
          <w:tcPr>
            <w:tcW w:type="dxa" w:w="172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7"/>
                <w:lang w:val="es-CO" w:eastAsia="es-CO"/>
              </w:rPr>
              <w:t>CAUSA</w:t>
            </w:r>
          </w:p>
        </w:tc>
        <w:tc>
          <w:tcPr>
            <w:tcW w:type="dxa" w:w="1224"/>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1.870.450</w:t>
            </w:r>
          </w:p>
        </w:tc>
        <w:tc>
          <w:tcPr>
            <w:tcW w:type="dxa" w:w="108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11</w:t>
            </w:r>
          </w:p>
        </w:tc>
        <w:tc>
          <w:tcPr>
            <w:tcW w:type="dxa" w:w="509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Códigos y descripciones registradas para el accidente.</w:t>
            </w:r>
          </w:p>
        </w:tc>
      </w:tr>
      <w:tr>
        <w:trPr>
          <w:cantSplit/>
        </w:trPr>
        <w:tc>
          <w:tcPr>
            <w:tcW w:type="dxa" w:w="172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7"/>
                <w:lang w:val="es-CO" w:eastAsia="es-CO"/>
              </w:rPr>
              <w:t>VIA</w:t>
            </w:r>
          </w:p>
        </w:tc>
        <w:tc>
          <w:tcPr>
            <w:tcW w:type="dxa" w:w="122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965.149</w:t>
            </w:r>
          </w:p>
        </w:tc>
        <w:tc>
          <w:tcPr>
            <w:tcW w:type="dxa" w:w="108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29</w:t>
            </w:r>
          </w:p>
        </w:tc>
        <w:tc>
          <w:tcPr>
            <w:tcW w:type="dxa" w:w="509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Características de la vía y selección de una vía representativa.</w:t>
            </w:r>
          </w:p>
        </w:tc>
      </w:tr>
    </w:tbl>
    <w:p>
      <w:pPr>
        <w:spacing w:after="40"/>
      </w:pPr>
    </w:p>
    <w:p>
      <w:pPr>
        <w:pStyle w:val="Heading2"/>
        <w:jc w:val="left"/>
      </w:pPr>
      <w:r>
        <w:rPr>
          <w:lang w:val="es-CO" w:eastAsia="es-CO"/>
        </w:rPr>
        <w:t>2.2. Selección temporal y espacial</w:t>
      </w:r>
    </w:p>
    <w:p>
      <w:pPr>
        <w:keepNext w:val="0"/>
        <w:spacing w:after="120" w:line="276" w:lineRule="auto"/>
        <w:jc w:val="both"/>
      </w:pPr>
      <w:r>
        <w:rPr>
          <w:rFonts w:ascii="Arial" w:hAnsi="Arial" w:eastAsia="Arial" w:cs="Arial"/>
          <w:color w:val="172033"/>
          <w:sz w:val="22"/>
          <w:lang w:val="es-CO" w:eastAsia="es-CO"/>
        </w:rPr>
        <w:t>La serie anual muestra que entre 2001 y 2006 existen pocos registros. Desde 2007 la cobertura aumenta y se mantiene en decenas de miles de accidentes por año. Por esta razón, el periodo analítico inicia en 2007. El año 2026 se conserva como periodo parcial y esta condición se considera al interpretar las pruebas temporales de los modelos.</w:t>
      </w:r>
    </w:p>
    <w:p>
      <w:pPr>
        <w:keepNext/>
        <w:spacing w:before="40" w:after="20"/>
        <w:jc w:val="center"/>
      </w:pPr>
      <w:r>
        <w:drawing>
          <wp:inline xmlns:a="http://schemas.openxmlformats.org/drawingml/2006/main" xmlns:pic="http://schemas.openxmlformats.org/drawingml/2006/picture">
            <wp:extent cx="5760720" cy="2336949"/>
            <wp:docPr id="2" name="Picture 2" descr="Gráfico de barras del número de accidentes por año con una línea vertical en 2007."/>
            <wp:cNvGraphicFramePr>
              <a:graphicFrameLocks noChangeAspect="1"/>
            </wp:cNvGraphicFramePr>
            <a:graphic>
              <a:graphicData uri="http://schemas.openxmlformats.org/drawingml/2006/picture">
                <pic:pic>
                  <pic:nvPicPr>
                    <pic:cNvPr id="0" name="cell_015_output_01.png"/>
                    <pic:cNvPicPr/>
                  </pic:nvPicPr>
                  <pic:blipFill>
                    <a:blip r:embed="rId11"/>
                    <a:stretch>
                      <a:fillRect/>
                    </a:stretch>
                  </pic:blipFill>
                  <pic:spPr>
                    <a:xfrm>
                      <a:off x="0" y="0"/>
                      <a:ext cx="5760720" cy="2336949"/>
                    </a:xfrm>
                    <a:prstGeom prst="rect"/>
                  </pic:spPr>
                </pic:pic>
              </a:graphicData>
            </a:graphic>
          </wp:inline>
        </w:drawing>
      </w:r>
    </w:p>
    <w:p>
      <w:pPr>
        <w:pStyle w:val="Caption"/>
        <w:keepNext w:val="0"/>
        <w:jc w:val="center"/>
      </w:pPr>
      <w:r>
        <w:rPr>
          <w:rFonts w:ascii="Arial" w:hAnsi="Arial" w:eastAsia="Arial" w:cs="Arial"/>
          <w:i/>
          <w:color w:val="454C5B"/>
          <w:sz w:val="18"/>
          <w:lang w:val="es-CO" w:eastAsia="es-CO"/>
        </w:rPr>
        <w:t>Figura 2. Número de accidentes por año y punto de inicio del periodo analítico.</w:t>
      </w:r>
    </w:p>
    <w:p>
      <w:pPr>
        <w:keepNext w:val="0"/>
        <w:spacing w:after="120" w:line="276" w:lineRule="auto"/>
        <w:jc w:val="both"/>
      </w:pPr>
      <w:r>
        <w:rPr>
          <w:rFonts w:ascii="Arial" w:hAnsi="Arial" w:eastAsia="Arial" w:cs="Arial"/>
          <w:color w:val="172033"/>
          <w:sz w:val="22"/>
          <w:lang w:val="es-CO" w:eastAsia="es-CO"/>
        </w:rPr>
        <w:t>El alcance espacial corresponde al perímetro urbano oficial de Bogotá en el sistema de coordenadas EPSG:4326. Cada accidente se transforma en un punto y se compara con esta geometría. De los 904.476 registros originales, 897.110 se encuentran dentro del perímetro urbano, equivalentes al 99,19 %. Los 7.366 registros restantes quedan fuera del alcance definido, pero no se interpretan como errores de la fuente.</w:t>
      </w:r>
    </w:p>
    <w:p>
      <w:pPr>
        <w:keepNext/>
        <w:spacing w:before="40" w:after="20"/>
        <w:jc w:val="center"/>
      </w:pPr>
      <w:r>
        <w:drawing>
          <wp:inline xmlns:a="http://schemas.openxmlformats.org/drawingml/2006/main" xmlns:pic="http://schemas.openxmlformats.org/drawingml/2006/picture">
            <wp:extent cx="4114800" cy="6594953"/>
            <wp:docPr id="3" name="Picture 3" descr="Mapa del perímetro urbano oficial de Bogotá con sus componentes separados."/>
            <wp:cNvGraphicFramePr>
              <a:graphicFrameLocks noChangeAspect="1"/>
            </wp:cNvGraphicFramePr>
            <a:graphic>
              <a:graphicData uri="http://schemas.openxmlformats.org/drawingml/2006/picture">
                <pic:pic>
                  <pic:nvPicPr>
                    <pic:cNvPr id="0" name="cell_021_output_01.png"/>
                    <pic:cNvPicPr/>
                  </pic:nvPicPr>
                  <pic:blipFill>
                    <a:blip r:embed="rId12"/>
                    <a:stretch>
                      <a:fillRect/>
                    </a:stretch>
                  </pic:blipFill>
                  <pic:spPr>
                    <a:xfrm>
                      <a:off x="0" y="0"/>
                      <a:ext cx="4114800" cy="6594953"/>
                    </a:xfrm>
                    <a:prstGeom prst="rect"/>
                  </pic:spPr>
                </pic:pic>
              </a:graphicData>
            </a:graphic>
          </wp:inline>
        </w:drawing>
      </w:r>
    </w:p>
    <w:p>
      <w:pPr>
        <w:pStyle w:val="Caption"/>
        <w:keepNext w:val="0"/>
        <w:jc w:val="center"/>
      </w:pPr>
      <w:r>
        <w:rPr>
          <w:rFonts w:ascii="Arial" w:hAnsi="Arial" w:eastAsia="Arial" w:cs="Arial"/>
          <w:i/>
          <w:color w:val="454C5B"/>
          <w:sz w:val="18"/>
          <w:lang w:val="es-CO" w:eastAsia="es-CO"/>
        </w:rPr>
        <w:t>Figura 3. Perímetro urbano oficial utilizado para la validación espacial.</w:t>
      </w:r>
    </w:p>
    <w:p>
      <w:pPr>
        <w:pStyle w:val="Heading2"/>
        <w:jc w:val="left"/>
      </w:pPr>
      <w:r>
        <w:rPr>
          <w:lang w:val="es-CO" w:eastAsia="es-CO"/>
        </w:rPr>
        <w:t>2.3. Información meteorológica</w:t>
      </w:r>
    </w:p>
    <w:p>
      <w:pPr>
        <w:keepNext w:val="0"/>
        <w:spacing w:after="120" w:line="276" w:lineRule="auto"/>
        <w:jc w:val="both"/>
      </w:pPr>
      <w:r>
        <w:rPr>
          <w:rFonts w:ascii="Arial" w:hAnsi="Arial" w:eastAsia="Arial" w:cs="Arial"/>
          <w:color w:val="172033"/>
          <w:sz w:val="22"/>
          <w:lang w:val="es-CO" w:eastAsia="es-CO"/>
        </w:rPr>
        <w:t>Para los accidentes anteriores a 2017 se utiliza ERA5, con una cuadrícula regular de 0,25 grados y una resolución aproximada entre 25 y 28 kilómetros. Desde 2017 se utiliza ECMWF IFS, cuya resolución aproximada es de 9 kilómetros. El notebook identifica los nodos que devuelve Open-Meteo, asigna cada accidente al nodo más cercano y aproxima la hora del evento a la observación meteorológica disponible.</w:t>
      </w:r>
    </w:p>
    <w:p>
      <w:pPr>
        <w:keepNext w:val="0"/>
        <w:spacing w:after="120" w:line="276" w:lineRule="auto"/>
        <w:jc w:val="both"/>
      </w:pPr>
      <w:r>
        <w:rPr>
          <w:rFonts w:ascii="Arial" w:hAnsi="Arial" w:eastAsia="Arial" w:cs="Arial"/>
          <w:color w:val="172033"/>
          <w:sz w:val="22"/>
          <w:lang w:val="es-CO" w:eastAsia="es-CO"/>
        </w:rPr>
        <w:t>La validación relaciona los 895.833 accidentes elegibles con información climática. Se construyen 325.314 observaciones meteorológicas únicas y se evitan 570.519 duplicados al reutilizar la misma observación para accidentes que comparten modelo, nodo y hora. No quedan accidentes elegibles sin información climática ni identificadores de clima duplicados.</w:t>
      </w:r>
    </w:p>
    <w:p>
      <w:pPr>
        <w:keepNext/>
        <w:spacing w:before="40" w:after="20"/>
        <w:jc w:val="center"/>
      </w:pPr>
      <w:r>
        <w:drawing>
          <wp:inline xmlns:a="http://schemas.openxmlformats.org/drawingml/2006/main" xmlns:pic="http://schemas.openxmlformats.org/drawingml/2006/picture">
            <wp:extent cx="5715000" cy="4364182"/>
            <wp:docPr id="4" name="Picture 4" descr="Comparación espacial de cuatro celdas ERA5 y dieciséis áreas de proximidad ECMWF IFS sobre Bogotá."/>
            <wp:cNvGraphicFramePr>
              <a:graphicFrameLocks noChangeAspect="1"/>
            </wp:cNvGraphicFramePr>
            <a:graphic>
              <a:graphicData uri="http://schemas.openxmlformats.org/drawingml/2006/picture">
                <pic:pic>
                  <pic:nvPicPr>
                    <pic:cNvPr id="0" name="cell_092_output_01.png"/>
                    <pic:cNvPicPr/>
                  </pic:nvPicPr>
                  <pic:blipFill>
                    <a:blip r:embed="rId13"/>
                    <a:stretch>
                      <a:fillRect/>
                    </a:stretch>
                  </pic:blipFill>
                  <pic:spPr>
                    <a:xfrm>
                      <a:off x="0" y="0"/>
                      <a:ext cx="5715000" cy="4364182"/>
                    </a:xfrm>
                    <a:prstGeom prst="rect"/>
                  </pic:spPr>
                </pic:pic>
              </a:graphicData>
            </a:graphic>
          </wp:inline>
        </w:drawing>
      </w:r>
    </w:p>
    <w:p>
      <w:pPr>
        <w:pStyle w:val="Caption"/>
        <w:keepNext w:val="0"/>
        <w:jc w:val="center"/>
      </w:pPr>
      <w:r>
        <w:rPr>
          <w:rFonts w:ascii="Arial" w:hAnsi="Arial" w:eastAsia="Arial" w:cs="Arial"/>
          <w:i/>
          <w:color w:val="454C5B"/>
          <w:sz w:val="18"/>
          <w:lang w:val="es-CO" w:eastAsia="es-CO"/>
        </w:rPr>
        <w:t>Figura 4. Cobertura meteorológica sobre el perímetro urbano de Bogotá.</w:t>
      </w:r>
    </w:p>
    <w:p>
      <w:pPr>
        <w:pStyle w:val="Heading1"/>
        <w:jc w:val="left"/>
      </w:pPr>
      <w:r>
        <w:rPr>
          <w:lang w:val="es-CO" w:eastAsia="es-CO"/>
        </w:rPr>
        <w:t>3. ETL</w:t>
      </w:r>
    </w:p>
    <w:p>
      <w:pPr>
        <w:pStyle w:val="Heading2"/>
        <w:jc w:val="left"/>
      </w:pPr>
      <w:r>
        <w:rPr>
          <w:lang w:val="es-CO" w:eastAsia="es-CO"/>
        </w:rPr>
        <w:t>3.1. Limpieza y validación de los registros</w:t>
      </w:r>
    </w:p>
    <w:p>
      <w:pPr>
        <w:keepNext w:val="0"/>
        <w:spacing w:after="120" w:line="276" w:lineRule="auto"/>
        <w:jc w:val="both"/>
      </w:pPr>
      <w:r>
        <w:rPr>
          <w:rFonts w:ascii="Arial" w:hAnsi="Arial" w:eastAsia="Arial" w:cs="Arial"/>
          <w:color w:val="172033"/>
          <w:sz w:val="22"/>
          <w:lang w:val="es-CO" w:eastAsia="es-CO"/>
        </w:rPr>
        <w:t>El proceso ETL diferencia los problemas de calidad de las decisiones de alcance. Primero se verifica que cada registro pueda identificarse y ubicarse correctamente; después se aplican el periodo y el perímetro definidos para PrediRuta. Este orden evita completar valores de forma artificial o clasificar como defectuoso un registro que solamente se encuentra fuera del alcance del proyecto.</w:t>
      </w:r>
    </w:p>
    <w:p>
      <w:pPr>
        <w:spacing w:after="80" w:line="269" w:lineRule="auto"/>
        <w:ind w:left="461" w:hanging="346"/>
        <w:jc w:val="both"/>
      </w:pPr>
      <w:r>
        <w:rPr>
          <w:rFonts w:ascii="Arial" w:hAnsi="Arial" w:eastAsia="Arial" w:cs="Arial"/>
          <w:b/>
          <w:color w:val="172033"/>
          <w:sz w:val="22"/>
          <w:lang w:val="es-CO" w:eastAsia="es-CO"/>
        </w:rPr>
        <w:t xml:space="preserve">1. </w:t>
      </w:r>
      <w:r>
        <w:rPr>
          <w:rFonts w:ascii="Arial" w:hAnsi="Arial" w:eastAsia="Arial" w:cs="Arial"/>
          <w:b/>
          <w:color w:val="172033"/>
          <w:sz w:val="22"/>
          <w:lang w:val="es-CO" w:eastAsia="es-CO"/>
        </w:rPr>
        <w:t xml:space="preserve">Normalización de llaves. </w:t>
      </w:r>
      <w:r>
        <w:rPr>
          <w:rFonts w:ascii="Arial" w:hAnsi="Arial" w:eastAsia="Arial" w:cs="Arial"/>
          <w:color w:val="172033"/>
          <w:sz w:val="22"/>
          <w:lang w:val="es-CO" w:eastAsia="es-CO"/>
        </w:rPr>
        <w:t>Se convierten los identificadores al mismo tipo, se estandariza el texto y se revisa la unicidad de ACCIDENTE_ID y FORMULARIO.</w:t>
      </w:r>
    </w:p>
    <w:p>
      <w:pPr>
        <w:spacing w:after="80" w:line="269" w:lineRule="auto"/>
        <w:ind w:left="461" w:hanging="346"/>
        <w:jc w:val="both"/>
      </w:pPr>
      <w:r>
        <w:rPr>
          <w:rFonts w:ascii="Arial" w:hAnsi="Arial" w:eastAsia="Arial" w:cs="Arial"/>
          <w:b/>
          <w:color w:val="172033"/>
          <w:sz w:val="22"/>
          <w:lang w:val="es-CO" w:eastAsia="es-CO"/>
        </w:rPr>
        <w:t xml:space="preserve">2. </w:t>
      </w:r>
      <w:r>
        <w:rPr>
          <w:rFonts w:ascii="Arial" w:hAnsi="Arial" w:eastAsia="Arial" w:cs="Arial"/>
          <w:b/>
          <w:color w:val="172033"/>
          <w:sz w:val="22"/>
          <w:lang w:val="es-CO" w:eastAsia="es-CO"/>
        </w:rPr>
        <w:t xml:space="preserve">Preparación temporal. </w:t>
      </w:r>
      <w:r>
        <w:rPr>
          <w:rFonts w:ascii="Arial" w:hAnsi="Arial" w:eastAsia="Arial" w:cs="Arial"/>
          <w:color w:val="172033"/>
          <w:sz w:val="22"/>
          <w:lang w:val="es-CO" w:eastAsia="es-CO"/>
        </w:rPr>
        <w:t>La fecha y la hora se convierten en un único campo FECHA_HORA; también se verifican los formatos válidos y el periodo desde 2007.</w:t>
      </w:r>
    </w:p>
    <w:p>
      <w:pPr>
        <w:spacing w:after="80" w:line="269" w:lineRule="auto"/>
        <w:ind w:left="461" w:hanging="346"/>
        <w:jc w:val="both"/>
      </w:pPr>
      <w:r>
        <w:rPr>
          <w:rFonts w:ascii="Arial" w:hAnsi="Arial" w:eastAsia="Arial" w:cs="Arial"/>
          <w:b/>
          <w:color w:val="172033"/>
          <w:sz w:val="22"/>
          <w:lang w:val="es-CO" w:eastAsia="es-CO"/>
        </w:rPr>
        <w:t xml:space="preserve">3. </w:t>
      </w:r>
      <w:r>
        <w:rPr>
          <w:rFonts w:ascii="Arial" w:hAnsi="Arial" w:eastAsia="Arial" w:cs="Arial"/>
          <w:b/>
          <w:color w:val="172033"/>
          <w:sz w:val="22"/>
          <w:lang w:val="es-CO" w:eastAsia="es-CO"/>
        </w:rPr>
        <w:t xml:space="preserve">Preparación espacial. </w:t>
      </w:r>
      <w:r>
        <w:rPr>
          <w:rFonts w:ascii="Arial" w:hAnsi="Arial" w:eastAsia="Arial" w:cs="Arial"/>
          <w:color w:val="172033"/>
          <w:sz w:val="22"/>
          <w:lang w:val="es-CO" w:eastAsia="es-CO"/>
        </w:rPr>
        <w:t>Se convierten latitud y longitud a valores numéricos, se comparan los dos pares de coordenadas de la fuente y se valida cada punto contra el perímetro urbano.</w:t>
      </w:r>
    </w:p>
    <w:p>
      <w:pPr>
        <w:spacing w:after="80" w:line="269" w:lineRule="auto"/>
        <w:ind w:left="461" w:hanging="346"/>
        <w:jc w:val="both"/>
      </w:pPr>
      <w:r>
        <w:rPr>
          <w:rFonts w:ascii="Arial" w:hAnsi="Arial" w:eastAsia="Arial" w:cs="Arial"/>
          <w:b/>
          <w:color w:val="172033"/>
          <w:sz w:val="22"/>
          <w:lang w:val="es-CO" w:eastAsia="es-CO"/>
        </w:rPr>
        <w:t xml:space="preserve">4. </w:t>
      </w:r>
      <w:r>
        <w:rPr>
          <w:rFonts w:ascii="Arial" w:hAnsi="Arial" w:eastAsia="Arial" w:cs="Arial"/>
          <w:b/>
          <w:color w:val="172033"/>
          <w:sz w:val="22"/>
          <w:lang w:val="es-CO" w:eastAsia="es-CO"/>
        </w:rPr>
        <w:t xml:space="preserve">Depuración relacional. </w:t>
      </w:r>
      <w:r>
        <w:rPr>
          <w:rFonts w:ascii="Arial" w:hAnsi="Arial" w:eastAsia="Arial" w:cs="Arial"/>
          <w:color w:val="172033"/>
          <w:sz w:val="22"/>
          <w:lang w:val="es-CO" w:eastAsia="es-CO"/>
        </w:rPr>
        <w:t>Se revisan las llaves de las tablas secundarias, se eliminan duplicados y se conserva una vía representativa por accidente.</w:t>
      </w:r>
    </w:p>
    <w:p>
      <w:pPr>
        <w:spacing w:after="80" w:line="269" w:lineRule="auto"/>
        <w:ind w:left="461" w:hanging="346"/>
        <w:jc w:val="both"/>
      </w:pPr>
      <w:r>
        <w:rPr>
          <w:rFonts w:ascii="Arial" w:hAnsi="Arial" w:eastAsia="Arial" w:cs="Arial"/>
          <w:b/>
          <w:color w:val="172033"/>
          <w:sz w:val="22"/>
          <w:lang w:val="es-CO" w:eastAsia="es-CO"/>
        </w:rPr>
        <w:t xml:space="preserve">5. </w:t>
      </w:r>
      <w:r>
        <w:rPr>
          <w:rFonts w:ascii="Arial" w:hAnsi="Arial" w:eastAsia="Arial" w:cs="Arial"/>
          <w:b/>
          <w:color w:val="172033"/>
          <w:sz w:val="22"/>
          <w:lang w:val="es-CO" w:eastAsia="es-CO"/>
        </w:rPr>
        <w:t xml:space="preserve">Tratamiento de variables. </w:t>
      </w:r>
      <w:r>
        <w:rPr>
          <w:rFonts w:ascii="Arial" w:hAnsi="Arial" w:eastAsia="Arial" w:cs="Arial"/>
          <w:color w:val="172033"/>
          <w:sz w:val="22"/>
          <w:lang w:val="es-CO" w:eastAsia="es-CO"/>
        </w:rPr>
        <w:t>Se retiran campos técnicos, redundantes o sensibles. Los valores categóricos no reportados se identifican como SIN INFORMACION y las imputaciones analíticas se realizan dentro de los pipelines.</w:t>
      </w:r>
    </w:p>
    <w:p>
      <w:pPr>
        <w:spacing w:after="80" w:line="269" w:lineRule="auto"/>
        <w:ind w:left="461" w:hanging="346"/>
        <w:jc w:val="both"/>
      </w:pPr>
      <w:r>
        <w:rPr>
          <w:rFonts w:ascii="Arial" w:hAnsi="Arial" w:eastAsia="Arial" w:cs="Arial"/>
          <w:b/>
          <w:color w:val="172033"/>
          <w:sz w:val="22"/>
          <w:lang w:val="es-CO" w:eastAsia="es-CO"/>
        </w:rPr>
        <w:t xml:space="preserve">6. </w:t>
      </w:r>
      <w:r>
        <w:rPr>
          <w:rFonts w:ascii="Arial" w:hAnsi="Arial" w:eastAsia="Arial" w:cs="Arial"/>
          <w:b/>
          <w:color w:val="172033"/>
          <w:sz w:val="22"/>
          <w:lang w:val="es-CO" w:eastAsia="es-CO"/>
        </w:rPr>
        <w:t xml:space="preserve">Validación final. </w:t>
      </w:r>
      <w:r>
        <w:rPr>
          <w:rFonts w:ascii="Arial" w:hAnsi="Arial" w:eastAsia="Arial" w:cs="Arial"/>
          <w:color w:val="172033"/>
          <w:sz w:val="22"/>
          <w:lang w:val="es-CO" w:eastAsia="es-CO"/>
        </w:rPr>
        <w:t>Se comprueba la unicidad de las llaves, la integridad entre tablas y la granularidad esperada antes de construir los conjuntos de modelado.</w:t>
      </w:r>
    </w:p>
    <w:p>
      <w:pPr>
        <w:keepNext/>
        <w:spacing w:after="100" w:line="276" w:lineRule="auto"/>
        <w:jc w:val="both"/>
      </w:pPr>
      <w:r>
        <w:rPr>
          <w:rFonts w:ascii="Arial" w:hAnsi="Arial" w:eastAsia="Arial" w:cs="Arial"/>
          <w:color w:val="172033"/>
          <w:sz w:val="22"/>
          <w:lang w:val="es-CO" w:eastAsia="es-CO"/>
        </w:rPr>
        <w:t>Las pruebas registradas en el notebook muestran los siguientes resultados para la tabla ACCIDENTE:</w:t>
      </w:r>
    </w:p>
    <w:tbl>
      <w:tblPr>
        <w:tblW w:type="auto" w:w="0"/>
        <w:jc w:val="center"/>
        <w:tblLayout w:type="fixed"/>
        <w:tblLook w:firstColumn="1" w:firstRow="1" w:lastColumn="0" w:lastRow="0" w:noHBand="0" w:noVBand="1" w:val="04A0"/>
      </w:tblPr>
      <w:tblGrid>
        <w:gridCol w:w="3043"/>
        <w:gridCol w:w="3043"/>
        <w:gridCol w:w="3043"/>
      </w:tblGrid>
      <w:tr>
        <w:trPr>
          <w:tblHeader w:val="true"/>
          <w:cantSplit/>
        </w:trPr>
        <w:tc>
          <w:tcPr>
            <w:tcW w:type="dxa" w:w="2952"/>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Prueba</w:t>
            </w:r>
          </w:p>
        </w:tc>
        <w:tc>
          <w:tcPr>
            <w:tcW w:type="dxa" w:w="2045"/>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Resultado</w:t>
            </w:r>
          </w:p>
        </w:tc>
        <w:tc>
          <w:tcPr>
            <w:tcW w:type="dxa" w:w="4133"/>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Interpretación</w:t>
            </w:r>
          </w:p>
        </w:tc>
      </w:tr>
      <w:tr>
        <w:trPr>
          <w:cantSplit/>
        </w:trPr>
        <w:tc>
          <w:tcPr>
            <w:tcW w:type="dxa" w:w="295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7"/>
                <w:lang w:val="es-CO" w:eastAsia="es-CO"/>
              </w:rPr>
              <w:t>Identificador, formulario, fecha, hora y coordenadas</w:t>
            </w:r>
          </w:p>
        </w:tc>
        <w:tc>
          <w:tcPr>
            <w:tcW w:type="dxa" w:w="2045"/>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904.476 registros válidos, 100 %.</w:t>
            </w:r>
          </w:p>
        </w:tc>
        <w:tc>
          <w:tcPr>
            <w:tcW w:type="dxa" w:w="413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La calidad estructural supera el criterio RD01 de 90 %.</w:t>
            </w:r>
          </w:p>
        </w:tc>
      </w:tr>
      <w:tr>
        <w:trPr>
          <w:cantSplit/>
        </w:trPr>
        <w:tc>
          <w:tcPr>
            <w:tcW w:type="dxa" w:w="295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7"/>
                <w:lang w:val="es-CO" w:eastAsia="es-CO"/>
              </w:rPr>
              <w:t>Consistencia entre X/Y y longitud/latitud</w:t>
            </w:r>
          </w:p>
        </w:tc>
        <w:tc>
          <w:tcPr>
            <w:tcW w:type="dxa" w:w="2045"/>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904.475 coincidencias y 1 diferencia.</w:t>
            </w:r>
          </w:p>
        </w:tc>
        <w:tc>
          <w:tcPr>
            <w:tcW w:type="dxa" w:w="4133"/>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Los dos pares de coordenadas son prácticamente equivalentes.</w:t>
            </w:r>
          </w:p>
        </w:tc>
      </w:tr>
      <w:tr>
        <w:trPr>
          <w:cantSplit/>
        </w:trPr>
        <w:tc>
          <w:tcPr>
            <w:tcW w:type="dxa" w:w="295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7"/>
                <w:lang w:val="es-CO" w:eastAsia="es-CO"/>
              </w:rPr>
              <w:t>Periodo desde 2007</w:t>
            </w:r>
          </w:p>
        </w:tc>
        <w:tc>
          <w:tcPr>
            <w:tcW w:type="dxa" w:w="2045"/>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903.190 registros, 99,86 %.</w:t>
            </w:r>
          </w:p>
        </w:tc>
        <w:tc>
          <w:tcPr>
            <w:tcW w:type="dxa" w:w="413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Las exclusiones anteriores a 2007 corresponden al alcance temporal.</w:t>
            </w:r>
          </w:p>
        </w:tc>
      </w:tr>
      <w:tr>
        <w:trPr>
          <w:cantSplit/>
        </w:trPr>
        <w:tc>
          <w:tcPr>
            <w:tcW w:type="dxa" w:w="295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7"/>
                <w:lang w:val="es-CO" w:eastAsia="es-CO"/>
              </w:rPr>
              <w:t>Perímetro urbano</w:t>
            </w:r>
          </w:p>
        </w:tc>
        <w:tc>
          <w:tcPr>
            <w:tcW w:type="dxa" w:w="2045"/>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897.110 registros, 99,19 %.</w:t>
            </w:r>
          </w:p>
        </w:tc>
        <w:tc>
          <w:tcPr>
            <w:tcW w:type="dxa" w:w="4133"/>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7.366 accidentes quedan fuera del alcance espacial.</w:t>
            </w:r>
          </w:p>
        </w:tc>
      </w:tr>
      <w:tr>
        <w:trPr>
          <w:cantSplit/>
        </w:trPr>
        <w:tc>
          <w:tcPr>
            <w:tcW w:type="dxa" w:w="295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7"/>
                <w:lang w:val="es-CO" w:eastAsia="es-CO"/>
              </w:rPr>
              <w:t>Conjunto utilizable</w:t>
            </w:r>
          </w:p>
        </w:tc>
        <w:tc>
          <w:tcPr>
            <w:tcW w:type="dxa" w:w="2045"/>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895.833 registros, 99,04 %.</w:t>
            </w:r>
          </w:p>
        </w:tc>
        <w:tc>
          <w:tcPr>
            <w:tcW w:type="dxa" w:w="413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Cumple de manera conjunta calidad, periodo y ubicación.</w:t>
            </w:r>
          </w:p>
        </w:tc>
      </w:tr>
      <w:tr>
        <w:trPr>
          <w:cantSplit/>
        </w:trPr>
        <w:tc>
          <w:tcPr>
            <w:tcW w:type="dxa" w:w="295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7"/>
                <w:lang w:val="es-CO" w:eastAsia="es-CO"/>
              </w:rPr>
              <w:t>Conjunto utilizable para severidad</w:t>
            </w:r>
          </w:p>
        </w:tc>
        <w:tc>
          <w:tcPr>
            <w:tcW w:type="dxa" w:w="2045"/>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895.827 registros, 99,04 %.</w:t>
            </w:r>
          </w:p>
        </w:tc>
        <w:tc>
          <w:tcPr>
            <w:tcW w:type="dxa" w:w="4133"/>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Solo seis registros adicionales carecen de información de gravedad.</w:t>
            </w:r>
          </w:p>
        </w:tc>
      </w:tr>
    </w:tbl>
    <w:p>
      <w:pPr>
        <w:spacing w:after="40"/>
      </w:pPr>
    </w:p>
    <w:p>
      <w:pPr>
        <w:keepNext/>
        <w:spacing w:before="40" w:after="20"/>
        <w:jc w:val="center"/>
      </w:pPr>
      <w:r>
        <w:drawing>
          <wp:inline xmlns:a="http://schemas.openxmlformats.org/drawingml/2006/main" xmlns:pic="http://schemas.openxmlformats.org/drawingml/2006/picture">
            <wp:extent cx="4114800" cy="6963508"/>
            <wp:docPr id="5" name="Picture 5" descr="Mapa de Bogotá con 895833 accidentes depurados dentro del perímetro urbano."/>
            <wp:cNvGraphicFramePr>
              <a:graphicFrameLocks noChangeAspect="1"/>
            </wp:cNvGraphicFramePr>
            <a:graphic>
              <a:graphicData uri="http://schemas.openxmlformats.org/drawingml/2006/picture">
                <pic:pic>
                  <pic:nvPicPr>
                    <pic:cNvPr id="0" name="cell_038_output_01.png"/>
                    <pic:cNvPicPr/>
                  </pic:nvPicPr>
                  <pic:blipFill>
                    <a:blip r:embed="rId14"/>
                    <a:stretch>
                      <a:fillRect/>
                    </a:stretch>
                  </pic:blipFill>
                  <pic:spPr>
                    <a:xfrm>
                      <a:off x="0" y="0"/>
                      <a:ext cx="4114800" cy="6963508"/>
                    </a:xfrm>
                    <a:prstGeom prst="rect"/>
                  </pic:spPr>
                </pic:pic>
              </a:graphicData>
            </a:graphic>
          </wp:inline>
        </w:drawing>
      </w:r>
    </w:p>
    <w:p>
      <w:pPr>
        <w:pStyle w:val="Caption"/>
        <w:keepNext w:val="0"/>
        <w:jc w:val="center"/>
      </w:pPr>
      <w:r>
        <w:rPr>
          <w:rFonts w:ascii="Arial" w:hAnsi="Arial" w:eastAsia="Arial" w:cs="Arial"/>
          <w:i/>
          <w:color w:val="454C5B"/>
          <w:sz w:val="18"/>
          <w:lang w:val="es-CO" w:eastAsia="es-CO"/>
        </w:rPr>
        <w:t>Figura 5. Accidentes depurados dentro del perímetro urbano.</w:t>
      </w:r>
    </w:p>
    <w:p>
      <w:pPr>
        <w:pStyle w:val="Heading2"/>
        <w:jc w:val="left"/>
      </w:pPr>
      <w:r>
        <w:rPr>
          <w:lang w:val="es-CO" w:eastAsia="es-CO"/>
        </w:rPr>
        <w:t>3.2. Integración de las tablas</w:t>
      </w:r>
    </w:p>
    <w:p>
      <w:pPr>
        <w:keepNext w:val="0"/>
        <w:spacing w:after="120" w:line="276" w:lineRule="auto"/>
        <w:jc w:val="both"/>
      </w:pPr>
      <w:r>
        <w:rPr>
          <w:rFonts w:ascii="Arial" w:hAnsi="Arial" w:eastAsia="Arial" w:cs="Arial"/>
          <w:color w:val="172033"/>
          <w:sz w:val="22"/>
          <w:lang w:val="es-CO" w:eastAsia="es-CO"/>
        </w:rPr>
        <w:t>Las tablas secundarias se relacionan con ACCIDENTE después de normalizar sus identificadores. ACTOR_VIAL y VEHICULO cubren aproximadamente el 99,92 % de los accidentes utilizables y CAUSA alcanza 97,77 %. La tabla VIA permite seleccionar 488.662 vías representativas; esta cobertura explica que N_CARRILES y N_CALZADAS presenten alrededor de 45 % de valores faltantes. Estas dos variables se conservan únicamente en los escenarios completos y se imputan dentro del pipeline para evitar utilizar información del conjunto de validación o prueba durante el ajuste.</w:t>
      </w:r>
    </w:p>
    <w:p>
      <w:pPr>
        <w:keepNext w:val="0"/>
        <w:spacing w:after="120" w:line="276" w:lineRule="auto"/>
        <w:jc w:val="both"/>
      </w:pPr>
      <w:r>
        <w:rPr>
          <w:rFonts w:ascii="Arial" w:hAnsi="Arial" w:eastAsia="Arial" w:cs="Arial"/>
          <w:color w:val="172033"/>
          <w:sz w:val="22"/>
          <w:lang w:val="es-CO" w:eastAsia="es-CO"/>
        </w:rPr>
        <w:t>LESIONADO y MUERTO se utilizan como fuentes de contraste, pero el estado final de los involucrados se representa desde ACTOR_VIAL. Esta decisión evita duplicar la misma información en varias tablas y mantiene una relación de un accidente con varios actores. También se excluyen placas, fechas de nacimiento e identificadores técnicos que no son necesarios para el análisis.</w:t>
      </w:r>
    </w:p>
    <w:p>
      <w:pPr>
        <w:pStyle w:val="Heading2"/>
        <w:jc w:val="left"/>
      </w:pPr>
      <w:r>
        <w:rPr>
          <w:lang w:val="es-CO" w:eastAsia="es-CO"/>
        </w:rPr>
        <w:t>3.3. Construcción de los conjuntos de modelado</w:t>
      </w:r>
    </w:p>
    <w:p>
      <w:pPr>
        <w:keepNext w:val="0"/>
        <w:spacing w:after="120" w:line="276" w:lineRule="auto"/>
        <w:jc w:val="both"/>
      </w:pPr>
      <w:r>
        <w:rPr>
          <w:rFonts w:ascii="Arial" w:hAnsi="Arial" w:eastAsia="Arial" w:cs="Arial"/>
          <w:color w:val="172033"/>
          <w:sz w:val="22"/>
          <w:lang w:val="es-CO" w:eastAsia="es-CO"/>
        </w:rPr>
        <w:t>El notebook de construcción genera productos con unidades de análisis distintas. Para ocurrencia se consolida una cuadrícula recurrente de zona, mes, día de la semana y hora. Para clase de accidente se conserva una fila por evento, evitando que los accidentes con más actores o vehículos reciban mayor peso. Para estado del actor se mantienen las filas que contienen un actor identificado.</w:t>
      </w:r>
    </w:p>
    <w:p>
      <w:pPr>
        <w:keepNext/>
        <w:spacing w:after="100" w:line="276" w:lineRule="auto"/>
        <w:jc w:val="both"/>
      </w:pPr>
      <w:r>
        <w:rPr>
          <w:rFonts w:ascii="Arial" w:hAnsi="Arial" w:eastAsia="Arial" w:cs="Arial"/>
          <w:color w:val="172033"/>
          <w:sz w:val="22"/>
          <w:lang w:val="es-CO" w:eastAsia="es-CO"/>
        </w:rPr>
        <w:t>Los archivos verificados en la carpeta del proyecto tienen las siguientes dimensiones:</w:t>
      </w:r>
    </w:p>
    <w:tbl>
      <w:tblPr>
        <w:tblW w:type="auto" w:w="0"/>
        <w:jc w:val="center"/>
        <w:tblLayout w:type="fixed"/>
        <w:tblLook w:firstColumn="1" w:firstRow="1" w:lastColumn="0" w:lastRow="0" w:noHBand="0" w:noVBand="1" w:val="04A0"/>
      </w:tblPr>
      <w:tblGrid>
        <w:gridCol w:w="1826"/>
        <w:gridCol w:w="1826"/>
        <w:gridCol w:w="1826"/>
        <w:gridCol w:w="1826"/>
        <w:gridCol w:w="1826"/>
      </w:tblGrid>
      <w:tr>
        <w:trPr>
          <w:tblHeader w:val="true"/>
          <w:cantSplit/>
        </w:trPr>
        <w:tc>
          <w:tcPr>
            <w:tcW w:type="dxa" w:w="2491"/>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Archivo</w:t>
            </w:r>
          </w:p>
        </w:tc>
        <w:tc>
          <w:tcPr>
            <w:tcW w:type="dxa" w:w="2333"/>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Unidad de análisis</w:t>
            </w:r>
          </w:p>
        </w:tc>
        <w:tc>
          <w:tcPr>
            <w:tcW w:type="dxa" w:w="1282"/>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Filas</w:t>
            </w:r>
          </w:p>
        </w:tc>
        <w:tc>
          <w:tcPr>
            <w:tcW w:type="dxa" w:w="1008"/>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Columnas</w:t>
            </w:r>
          </w:p>
        </w:tc>
        <w:tc>
          <w:tcPr>
            <w:tcW w:type="dxa" w:w="2016"/>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Objetivo</w:t>
            </w:r>
          </w:p>
        </w:tc>
      </w:tr>
      <w:tr>
        <w:trPr>
          <w:cantSplit/>
        </w:trPr>
        <w:tc>
          <w:tcPr>
            <w:tcW w:type="dxa" w:w="249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7"/>
                <w:lang w:val="es-CO" w:eastAsia="es-CO"/>
              </w:rPr>
              <w:t>DATASET_OCURRENCIA</w:t>
            </w:r>
          </w:p>
        </w:tc>
        <w:tc>
          <w:tcPr>
            <w:tcW w:type="dxa" w:w="233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Zona, mes, día y hora</w:t>
            </w:r>
          </w:p>
        </w:tc>
        <w:tc>
          <w:tcPr>
            <w:tcW w:type="dxa" w:w="128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302.400</w:t>
            </w:r>
          </w:p>
        </w:tc>
        <w:tc>
          <w:tcPr>
            <w:tcW w:type="dxa" w:w="100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16</w:t>
            </w:r>
          </w:p>
        </w:tc>
        <w:tc>
          <w:tcPr>
            <w:tcW w:type="dxa" w:w="201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OCURRIO_ACCIDENTE</w:t>
            </w:r>
          </w:p>
        </w:tc>
      </w:tr>
      <w:tr>
        <w:trPr>
          <w:cantSplit/>
        </w:trPr>
        <w:tc>
          <w:tcPr>
            <w:tcW w:type="dxa" w:w="249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7"/>
                <w:lang w:val="es-CO" w:eastAsia="es-CO"/>
              </w:rPr>
              <w:t>DATASET_EVENTOS</w:t>
            </w:r>
          </w:p>
        </w:tc>
        <w:tc>
          <w:tcPr>
            <w:tcW w:type="dxa" w:w="2333"/>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Un accidente</w:t>
            </w:r>
          </w:p>
        </w:tc>
        <w:tc>
          <w:tcPr>
            <w:tcW w:type="dxa" w:w="128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895.346</w:t>
            </w:r>
          </w:p>
        </w:tc>
        <w:tc>
          <w:tcPr>
            <w:tcW w:type="dxa" w:w="100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23</w:t>
            </w:r>
          </w:p>
        </w:tc>
        <w:tc>
          <w:tcPr>
            <w:tcW w:type="dxa" w:w="201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Fuente por evento</w:t>
            </w:r>
          </w:p>
        </w:tc>
      </w:tr>
      <w:tr>
        <w:trPr>
          <w:cantSplit/>
        </w:trPr>
        <w:tc>
          <w:tcPr>
            <w:tcW w:type="dxa" w:w="249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7"/>
                <w:lang w:val="es-CO" w:eastAsia="es-CO"/>
              </w:rPr>
              <w:t>TABLA_COMPLETA_MODELADO</w:t>
            </w:r>
          </w:p>
        </w:tc>
        <w:tc>
          <w:tcPr>
            <w:tcW w:type="dxa" w:w="233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Actor o evento sin actor</w:t>
            </w:r>
          </w:p>
        </w:tc>
        <w:tc>
          <w:tcPr>
            <w:tcW w:type="dxa" w:w="128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1.928.614</w:t>
            </w:r>
          </w:p>
        </w:tc>
        <w:tc>
          <w:tcPr>
            <w:tcW w:type="dxa" w:w="100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47</w:t>
            </w:r>
          </w:p>
        </w:tc>
        <w:tc>
          <w:tcPr>
            <w:tcW w:type="dxa" w:w="201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CLASE_ACCIDENTE y ESTADO</w:t>
            </w:r>
          </w:p>
        </w:tc>
      </w:tr>
      <w:tr>
        <w:trPr>
          <w:cantSplit/>
        </w:trPr>
        <w:tc>
          <w:tcPr>
            <w:tcW w:type="dxa" w:w="249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7"/>
                <w:lang w:val="es-CO" w:eastAsia="es-CO"/>
              </w:rPr>
              <w:t>DICCIONARIO_CATEGORIAS</w:t>
            </w:r>
          </w:p>
        </w:tc>
        <w:tc>
          <w:tcPr>
            <w:tcW w:type="dxa" w:w="2333"/>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Código y descripción</w:t>
            </w:r>
          </w:p>
        </w:tc>
        <w:tc>
          <w:tcPr>
            <w:tcW w:type="dxa" w:w="128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237</w:t>
            </w:r>
          </w:p>
        </w:tc>
        <w:tc>
          <w:tcPr>
            <w:tcW w:type="dxa" w:w="100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4</w:t>
            </w:r>
          </w:p>
        </w:tc>
        <w:tc>
          <w:tcPr>
            <w:tcW w:type="dxa" w:w="201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Trazabilidad de categorías</w:t>
            </w:r>
          </w:p>
        </w:tc>
      </w:tr>
    </w:tbl>
    <w:p>
      <w:pPr>
        <w:spacing w:after="40"/>
      </w:pPr>
    </w:p>
    <w:p>
      <w:pPr>
        <w:keepNext w:val="0"/>
        <w:spacing w:after="120" w:line="276" w:lineRule="auto"/>
        <w:jc w:val="both"/>
      </w:pPr>
      <w:r>
        <w:rPr>
          <w:rFonts w:ascii="Arial" w:hAnsi="Arial" w:eastAsia="Arial" w:cs="Arial"/>
          <w:color w:val="172033"/>
          <w:sz w:val="22"/>
          <w:lang w:val="es-CO" w:eastAsia="es-CO"/>
        </w:rPr>
        <w:t>El dataset de ocurrencia se construye con 150 zonas, 12 meses, 7 días y 24 horas, para un total de 302.400 combinaciones. La etiqueta toma el valor 1 cuando existe al menos un accidente histórico para el patrón y 0 cuando la combinación no aparece en el histórico. Por tanto, los ceros no son observaciones de una fecha futura sin accidente y la salida no debe interpretarse como una probabilidad absoluta. El modelo estima una asociación histórica recurrente que posteriormente se traducirá en niveles relativos de criticidad.</w:t>
      </w:r>
    </w:p>
    <w:p>
      <w:pPr>
        <w:pStyle w:val="Heading2"/>
        <w:jc w:val="left"/>
      </w:pPr>
      <w:r>
        <w:rPr>
          <w:lang w:val="es-CO" w:eastAsia="es-CO"/>
        </w:rPr>
        <w:t>3.4. Supuestos y tratamientos aplicados</w:t>
      </w:r>
    </w:p>
    <w:p>
      <w:pPr>
        <w:keepNext/>
        <w:spacing w:after="100" w:line="276" w:lineRule="auto"/>
        <w:jc w:val="both"/>
      </w:pPr>
      <w:r>
        <w:rPr>
          <w:rFonts w:ascii="Arial" w:hAnsi="Arial" w:eastAsia="Arial" w:cs="Arial"/>
          <w:color w:val="172033"/>
          <w:sz w:val="22"/>
          <w:lang w:val="es-CO" w:eastAsia="es-CO"/>
        </w:rPr>
        <w:t>Antes del entrenamiento se revisaron los principales supuestos que podían afectar la validez de los experimentos. La prueba realizada, el tratamiento y la consecuencia para la interpretación se resumen a continuación:</w:t>
      </w:r>
    </w:p>
    <w:tbl>
      <w:tblPr>
        <w:tblW w:type="auto" w:w="0"/>
        <w:jc w:val="center"/>
        <w:tblLayout w:type="fixed"/>
        <w:tblLook w:firstColumn="1" w:firstRow="1" w:lastColumn="0" w:lastRow="0" w:noHBand="0" w:noVBand="1" w:val="04A0"/>
      </w:tblPr>
      <w:tblGrid>
        <w:gridCol w:w="3043"/>
        <w:gridCol w:w="3043"/>
        <w:gridCol w:w="3043"/>
      </w:tblGrid>
      <w:tr>
        <w:trPr>
          <w:tblHeader w:val="true"/>
          <w:cantSplit/>
        </w:trPr>
        <w:tc>
          <w:tcPr>
            <w:tcW w:type="dxa" w:w="2088"/>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Supuesto</w:t>
            </w:r>
          </w:p>
        </w:tc>
        <w:tc>
          <w:tcPr>
            <w:tcW w:type="dxa" w:w="4291"/>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Prueba y tratamiento</w:t>
            </w:r>
          </w:p>
        </w:tc>
        <w:tc>
          <w:tcPr>
            <w:tcW w:type="dxa" w:w="2750"/>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Resultado para el modelado</w:t>
            </w:r>
          </w:p>
        </w:tc>
      </w:tr>
      <w:tr>
        <w:trPr>
          <w:cantSplit/>
        </w:trPr>
        <w:tc>
          <w:tcPr>
            <w:tcW w:type="dxa" w:w="208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6"/>
                <w:lang w:val="es-CO" w:eastAsia="es-CO"/>
              </w:rPr>
              <w:t>Calidad y cobertura</w:t>
            </w:r>
          </w:p>
        </w:tc>
        <w:tc>
          <w:tcPr>
            <w:tcW w:type="dxa" w:w="429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Validación de llaves, fecha, hora, coordenadas, alcance espacial y cobertura meteorológica.</w:t>
            </w:r>
          </w:p>
        </w:tc>
        <w:tc>
          <w:tcPr>
            <w:tcW w:type="dxa" w:w="275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895.833 accidentes utilizables y 100 % de eventos elegibles con clima.</w:t>
            </w:r>
          </w:p>
        </w:tc>
      </w:tr>
      <w:tr>
        <w:trPr>
          <w:cantSplit/>
        </w:trPr>
        <w:tc>
          <w:tcPr>
            <w:tcW w:type="dxa" w:w="208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6"/>
                <w:lang w:val="es-CO" w:eastAsia="es-CO"/>
              </w:rPr>
              <w:t>Granularidad</w:t>
            </w:r>
          </w:p>
        </w:tc>
        <w:tc>
          <w:tcPr>
            <w:tcW w:type="dxa" w:w="429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Comprobación de una fila por patrón, accidente o actor según el objetivo.</w:t>
            </w:r>
          </w:p>
        </w:tc>
        <w:tc>
          <w:tcPr>
            <w:tcW w:type="dxa" w:w="275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Se evita duplicar eventos y mezclar las unidades de análisis.</w:t>
            </w:r>
          </w:p>
        </w:tc>
      </w:tr>
      <w:tr>
        <w:trPr>
          <w:cantSplit/>
        </w:trPr>
        <w:tc>
          <w:tcPr>
            <w:tcW w:type="dxa" w:w="208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6"/>
                <w:lang w:val="es-CO" w:eastAsia="es-CO"/>
              </w:rPr>
              <w:t>Fuga de información</w:t>
            </w:r>
          </w:p>
        </w:tc>
        <w:tc>
          <w:tcPr>
            <w:tcW w:type="dxa" w:w="429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Separación de escenarios completos y operativos; bloqueo de objetivos, identificadores y variables posteriores al evento.</w:t>
            </w:r>
          </w:p>
        </w:tc>
        <w:tc>
          <w:tcPr>
            <w:tcW w:type="dxa" w:w="275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La selección para uso real se limita a variables disponibles antes de la predicción.</w:t>
            </w:r>
          </w:p>
        </w:tc>
      </w:tr>
      <w:tr>
        <w:trPr>
          <w:cantSplit/>
        </w:trPr>
        <w:tc>
          <w:tcPr>
            <w:tcW w:type="dxa" w:w="208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6"/>
                <w:lang w:val="es-CO" w:eastAsia="es-CO"/>
              </w:rPr>
              <w:t>Faltantes</w:t>
            </w:r>
          </w:p>
        </w:tc>
        <w:tc>
          <w:tcPr>
            <w:tcW w:type="dxa" w:w="429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Imputación por mediana para variables numéricas y por categoría más frecuente para variables categóricas dentro del pipeline.</w:t>
            </w:r>
          </w:p>
        </w:tc>
        <w:tc>
          <w:tcPr>
            <w:tcW w:type="dxa" w:w="275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La transformación se aprende únicamente con los datos de entrenamiento.</w:t>
            </w:r>
          </w:p>
        </w:tc>
      </w:tr>
      <w:tr>
        <w:trPr>
          <w:cantSplit/>
        </w:trPr>
        <w:tc>
          <w:tcPr>
            <w:tcW w:type="dxa" w:w="208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6"/>
                <w:lang w:val="es-CO" w:eastAsia="es-CO"/>
              </w:rPr>
              <w:t>Redundancia climática</w:t>
            </w:r>
          </w:p>
        </w:tc>
        <w:tc>
          <w:tcPr>
            <w:tcW w:type="dxa" w:w="429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Umbral de correlación absoluta de 0,80 y selección de un subconjunto meteorológico.</w:t>
            </w:r>
          </w:p>
        </w:tc>
        <w:tc>
          <w:tcPr>
            <w:tcW w:type="dxa" w:w="275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Se retiran señales redundantes como humedad, sensación térmica y lluvia en clase y estado.</w:t>
            </w:r>
          </w:p>
        </w:tc>
      </w:tr>
      <w:tr>
        <w:trPr>
          <w:cantSplit/>
        </w:trPr>
        <w:tc>
          <w:tcPr>
            <w:tcW w:type="dxa" w:w="208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6"/>
                <w:lang w:val="es-CO" w:eastAsia="es-CO"/>
              </w:rPr>
              <w:t>Desbalance</w:t>
            </w:r>
          </w:p>
        </w:tc>
        <w:tc>
          <w:tcPr>
            <w:tcW w:type="dxa" w:w="429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Pesos de clase, métricas macro, balanced accuracy y muestra balanceada para MLP.</w:t>
            </w:r>
          </w:p>
        </w:tc>
        <w:tc>
          <w:tcPr>
            <w:tcW w:type="dxa" w:w="275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Accuracy se reporta como complemento, pero no determina el ganador.</w:t>
            </w:r>
          </w:p>
        </w:tc>
      </w:tr>
      <w:tr>
        <w:trPr>
          <w:cantSplit/>
        </w:trPr>
        <w:tc>
          <w:tcPr>
            <w:tcW w:type="dxa" w:w="208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6"/>
                <w:lang w:val="es-CO" w:eastAsia="es-CO"/>
              </w:rPr>
              <w:t>Cambio temporal</w:t>
            </w:r>
          </w:p>
        </w:tc>
        <w:tc>
          <w:tcPr>
            <w:tcW w:type="dxa" w:w="429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Particiones por año, backtesting y prueba final fuera de tiempo para clase y estado.</w:t>
            </w:r>
          </w:p>
        </w:tc>
        <w:tc>
          <w:tcPr>
            <w:tcW w:type="dxa" w:w="275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El desempeño se evalúa sobre años posteriores a los usados en selección.</w:t>
            </w:r>
          </w:p>
        </w:tc>
      </w:tr>
    </w:tbl>
    <w:p>
      <w:pPr>
        <w:spacing w:after="40"/>
      </w:pPr>
    </w:p>
    <w:p>
      <w:pPr>
        <w:pStyle w:val="Heading1"/>
        <w:jc w:val="left"/>
      </w:pPr>
      <w:r>
        <w:rPr>
          <w:lang w:val="es-CO" w:eastAsia="es-CO"/>
        </w:rPr>
        <w:t>4. Modelo de ocurrencia de accidente</w:t>
      </w:r>
    </w:p>
    <w:p>
      <w:pPr>
        <w:pStyle w:val="Heading2"/>
        <w:jc w:val="left"/>
      </w:pPr>
      <w:r>
        <w:rPr>
          <w:lang w:val="es-CO" w:eastAsia="es-CO"/>
        </w:rPr>
        <w:t>4.1. Objetivo y preparación de los datos</w:t>
      </w:r>
    </w:p>
    <w:p>
      <w:pPr>
        <w:keepNext w:val="0"/>
        <w:spacing w:after="120" w:line="276" w:lineRule="auto"/>
        <w:jc w:val="both"/>
      </w:pPr>
      <w:r>
        <w:rPr>
          <w:rFonts w:ascii="Arial" w:hAnsi="Arial" w:eastAsia="Arial" w:cs="Arial"/>
          <w:color w:val="172033"/>
          <w:sz w:val="22"/>
          <w:lang w:val="es-CO" w:eastAsia="es-CO"/>
        </w:rPr>
        <w:t>El modelo de ocurrencia busca identificar si un patrón recurrente de zona, mes, día de la semana y hora aparece entre los accidentes históricos. El notebook actualizado carga directamente DATASET_OCURRENCIA con 302.400 registros y 16 variables, conserva las 150 zonas construidas en el ETL y utiliza la misma cuadrícula para los experimentos con y sin clima.</w:t>
      </w:r>
    </w:p>
    <w:p>
      <w:pPr>
        <w:keepNext w:val="0"/>
        <w:spacing w:after="120" w:line="276" w:lineRule="auto"/>
        <w:jc w:val="both"/>
      </w:pPr>
      <w:r>
        <w:rPr>
          <w:rFonts w:ascii="Arial" w:hAnsi="Arial" w:eastAsia="Arial" w:cs="Arial"/>
          <w:color w:val="172033"/>
          <w:sz w:val="22"/>
          <w:lang w:val="es-CO" w:eastAsia="es-CO"/>
        </w:rPr>
        <w:t>La variable objetivo se encuentra desbalanceada: 68,70 % de las combinaciones tienen OCURRIO_ACCIDENTE igual a 1 y 31,30 % tienen valor 0. El conjunto se divide de forma aleatoria y estratificada en 241.920 registros de entrenamiento y 60.480 de prueba. Esta partición permite comparar los modelos sobre la misma muestra, aunque todavía no demuestra generalización hacia periodos futuros porque la cuadrícula no conserva año ni fecha específica.</w:t>
      </w:r>
    </w:p>
    <w:p>
      <w:pPr>
        <w:pStyle w:val="Heading2"/>
        <w:jc w:val="left"/>
      </w:pPr>
      <w:r>
        <w:rPr>
          <w:lang w:val="es-CO" w:eastAsia="es-CO"/>
        </w:rPr>
        <w:t>4.2. Paso a paso del notebook</w:t>
      </w:r>
    </w:p>
    <w:p>
      <w:pPr>
        <w:spacing w:after="80" w:line="269" w:lineRule="auto"/>
        <w:ind w:left="461" w:hanging="346"/>
        <w:jc w:val="both"/>
      </w:pPr>
      <w:r>
        <w:rPr>
          <w:rFonts w:ascii="Arial" w:hAnsi="Arial" w:eastAsia="Arial" w:cs="Arial"/>
          <w:b/>
          <w:color w:val="172033"/>
          <w:sz w:val="22"/>
          <w:lang w:val="es-CO" w:eastAsia="es-CO"/>
        </w:rPr>
        <w:t xml:space="preserve">1. </w:t>
      </w:r>
      <w:r>
        <w:rPr>
          <w:rFonts w:ascii="Arial" w:hAnsi="Arial" w:eastAsia="Arial" w:cs="Arial"/>
          <w:b/>
          <w:color w:val="172033"/>
          <w:sz w:val="22"/>
          <w:lang w:val="es-CO" w:eastAsia="es-CO"/>
        </w:rPr>
        <w:t xml:space="preserve">Carga y revisión. </w:t>
      </w:r>
      <w:r>
        <w:rPr>
          <w:rFonts w:ascii="Arial" w:hAnsi="Arial" w:eastAsia="Arial" w:cs="Arial"/>
          <w:color w:val="172033"/>
          <w:sz w:val="22"/>
          <w:lang w:val="es-CO" w:eastAsia="es-CO"/>
        </w:rPr>
        <w:t>Se comprueban dimensiones, tipos, distribución de la variable objetivo y comportamiento de las variables espaciales, temporales y meteorológicas.</w:t>
      </w:r>
    </w:p>
    <w:p>
      <w:pPr>
        <w:spacing w:after="80" w:line="269" w:lineRule="auto"/>
        <w:ind w:left="461" w:hanging="346"/>
        <w:jc w:val="both"/>
      </w:pPr>
      <w:r>
        <w:rPr>
          <w:rFonts w:ascii="Arial" w:hAnsi="Arial" w:eastAsia="Arial" w:cs="Arial"/>
          <w:b/>
          <w:color w:val="172033"/>
          <w:sz w:val="22"/>
          <w:lang w:val="es-CO" w:eastAsia="es-CO"/>
        </w:rPr>
        <w:t xml:space="preserve">2. </w:t>
      </w:r>
      <w:r>
        <w:rPr>
          <w:rFonts w:ascii="Arial" w:hAnsi="Arial" w:eastAsia="Arial" w:cs="Arial"/>
          <w:b/>
          <w:color w:val="172033"/>
          <w:sz w:val="22"/>
          <w:lang w:val="es-CO" w:eastAsia="es-CO"/>
        </w:rPr>
        <w:t xml:space="preserve">Escenario sin clima. </w:t>
      </w:r>
      <w:r>
        <w:rPr>
          <w:rFonts w:ascii="Arial" w:hAnsi="Arial" w:eastAsia="Arial" w:cs="Arial"/>
          <w:color w:val="172033"/>
          <w:sz w:val="22"/>
          <w:lang w:val="es-CO" w:eastAsia="es-CO"/>
        </w:rPr>
        <w:t>Se utilizan ZONA_CIUDAD, MES, DIA_SEMANA y HORA como predictores y se conserva una partición 80 %–20 % estratificada.</w:t>
      </w:r>
    </w:p>
    <w:p>
      <w:pPr>
        <w:spacing w:after="80" w:line="269" w:lineRule="auto"/>
        <w:ind w:left="461" w:hanging="346"/>
        <w:jc w:val="both"/>
      </w:pPr>
      <w:r>
        <w:rPr>
          <w:rFonts w:ascii="Arial" w:hAnsi="Arial" w:eastAsia="Arial" w:cs="Arial"/>
          <w:b/>
          <w:color w:val="172033"/>
          <w:sz w:val="22"/>
          <w:lang w:val="es-CO" w:eastAsia="es-CO"/>
        </w:rPr>
        <w:t xml:space="preserve">3. </w:t>
      </w:r>
      <w:r>
        <w:rPr>
          <w:rFonts w:ascii="Arial" w:hAnsi="Arial" w:eastAsia="Arial" w:cs="Arial"/>
          <w:b/>
          <w:color w:val="172033"/>
          <w:sz w:val="22"/>
          <w:lang w:val="es-CO" w:eastAsia="es-CO"/>
        </w:rPr>
        <w:t xml:space="preserve">Ajuste de modelos. </w:t>
      </w:r>
      <w:r>
        <w:rPr>
          <w:rFonts w:ascii="Arial" w:hAnsi="Arial" w:eastAsia="Arial" w:cs="Arial"/>
          <w:color w:val="172033"/>
          <w:sz w:val="22"/>
          <w:lang w:val="es-CO" w:eastAsia="es-CO"/>
        </w:rPr>
        <w:t>Se entrenan regresión logística, Random Forest, XGBoost y MLP. GridSearchCV utiliza cinco particiones y ROC-AUC como criterio de ajuste.</w:t>
      </w:r>
    </w:p>
    <w:p>
      <w:pPr>
        <w:spacing w:after="80" w:line="269" w:lineRule="auto"/>
        <w:ind w:left="461" w:hanging="346"/>
        <w:jc w:val="both"/>
      </w:pPr>
      <w:r>
        <w:rPr>
          <w:rFonts w:ascii="Arial" w:hAnsi="Arial" w:eastAsia="Arial" w:cs="Arial"/>
          <w:b/>
          <w:color w:val="172033"/>
          <w:sz w:val="22"/>
          <w:lang w:val="es-CO" w:eastAsia="es-CO"/>
        </w:rPr>
        <w:t xml:space="preserve">4. </w:t>
      </w:r>
      <w:r>
        <w:rPr>
          <w:rFonts w:ascii="Arial" w:hAnsi="Arial" w:eastAsia="Arial" w:cs="Arial"/>
          <w:b/>
          <w:color w:val="172033"/>
          <w:sz w:val="22"/>
          <w:lang w:val="es-CO" w:eastAsia="es-CO"/>
        </w:rPr>
        <w:t xml:space="preserve">Escenario con clima. </w:t>
      </w:r>
      <w:r>
        <w:rPr>
          <w:rFonts w:ascii="Arial" w:hAnsi="Arial" w:eastAsia="Arial" w:cs="Arial"/>
          <w:color w:val="172033"/>
          <w:sz w:val="22"/>
          <w:lang w:val="es-CO" w:eastAsia="es-CO"/>
        </w:rPr>
        <w:t>Se repite el procedimiento agregando sensación térmica, lluvia y velocidad del viento, sin modificar las observaciones de entrenamiento y prueba.</w:t>
      </w:r>
    </w:p>
    <w:p>
      <w:pPr>
        <w:spacing w:after="80" w:line="269" w:lineRule="auto"/>
        <w:ind w:left="461" w:hanging="346"/>
        <w:jc w:val="both"/>
      </w:pPr>
      <w:r>
        <w:rPr>
          <w:rFonts w:ascii="Arial" w:hAnsi="Arial" w:eastAsia="Arial" w:cs="Arial"/>
          <w:b/>
          <w:color w:val="172033"/>
          <w:sz w:val="22"/>
          <w:lang w:val="es-CO" w:eastAsia="es-CO"/>
        </w:rPr>
        <w:t xml:space="preserve">5. </w:t>
      </w:r>
      <w:r>
        <w:rPr>
          <w:rFonts w:ascii="Arial" w:hAnsi="Arial" w:eastAsia="Arial" w:cs="Arial"/>
          <w:b/>
          <w:color w:val="172033"/>
          <w:sz w:val="22"/>
          <w:lang w:val="es-CO" w:eastAsia="es-CO"/>
        </w:rPr>
        <w:t xml:space="preserve">Comparación. </w:t>
      </w:r>
      <w:r>
        <w:rPr>
          <w:rFonts w:ascii="Arial" w:hAnsi="Arial" w:eastAsia="Arial" w:cs="Arial"/>
          <w:color w:val="172033"/>
          <w:sz w:val="22"/>
          <w:lang w:val="es-CO" w:eastAsia="es-CO"/>
        </w:rPr>
        <w:t>Se revisan ROC-AUC, F1, balanced accuracy, precisión, recall y log loss para evitar seleccionar el modelo a partir de una sola métrica.</w:t>
      </w:r>
    </w:p>
    <w:p>
      <w:pPr>
        <w:spacing w:after="80" w:line="269" w:lineRule="auto"/>
        <w:ind w:left="461" w:hanging="346"/>
        <w:jc w:val="both"/>
      </w:pPr>
      <w:r>
        <w:rPr>
          <w:rFonts w:ascii="Arial" w:hAnsi="Arial" w:eastAsia="Arial" w:cs="Arial"/>
          <w:b/>
          <w:color w:val="172033"/>
          <w:sz w:val="22"/>
          <w:lang w:val="es-CO" w:eastAsia="es-CO"/>
        </w:rPr>
        <w:t xml:space="preserve">6. </w:t>
      </w:r>
      <w:r>
        <w:rPr>
          <w:rFonts w:ascii="Arial" w:hAnsi="Arial" w:eastAsia="Arial" w:cs="Arial"/>
          <w:b/>
          <w:color w:val="172033"/>
          <w:sz w:val="22"/>
          <w:lang w:val="es-CO" w:eastAsia="es-CO"/>
        </w:rPr>
        <w:t xml:space="preserve">Interpretación. </w:t>
      </w:r>
      <w:r>
        <w:rPr>
          <w:rFonts w:ascii="Arial" w:hAnsi="Arial" w:eastAsia="Arial" w:cs="Arial"/>
          <w:color w:val="172033"/>
          <w:sz w:val="22"/>
          <w:lang w:val="es-CO" w:eastAsia="es-CO"/>
        </w:rPr>
        <w:t>Se contrasta el aporte del clima y se conserva la salida como una medida de criticidad histórica relativa.</w:t>
      </w:r>
    </w:p>
    <w:p>
      <w:pPr>
        <w:pStyle w:val="Heading2"/>
        <w:jc w:val="left"/>
      </w:pPr>
      <w:r>
        <w:rPr>
          <w:lang w:val="es-CO" w:eastAsia="es-CO"/>
        </w:rPr>
        <w:t>4.3. Parametrización y entrenamiento</w:t>
      </w:r>
    </w:p>
    <w:p>
      <w:pPr>
        <w:keepNext/>
        <w:spacing w:after="100" w:line="276" w:lineRule="auto"/>
        <w:jc w:val="both"/>
      </w:pPr>
      <w:r>
        <w:rPr>
          <w:rFonts w:ascii="Arial" w:hAnsi="Arial" w:eastAsia="Arial" w:cs="Arial"/>
          <w:color w:val="172033"/>
          <w:sz w:val="22"/>
          <w:lang w:val="es-CO" w:eastAsia="es-CO"/>
        </w:rPr>
        <w:t>Las configuraciones seleccionadas mediante búsqueda de hiperparámetros fueron las siguientes:</w:t>
      </w:r>
    </w:p>
    <w:tbl>
      <w:tblPr>
        <w:tblW w:type="auto" w:w="0"/>
        <w:jc w:val="center"/>
        <w:tblLayout w:type="fixed"/>
        <w:tblLook w:firstColumn="1" w:firstRow="1" w:lastColumn="0" w:lastRow="0" w:noHBand="0" w:noVBand="1" w:val="04A0"/>
      </w:tblPr>
      <w:tblGrid>
        <w:gridCol w:w="4565"/>
        <w:gridCol w:w="4565"/>
      </w:tblGrid>
      <w:tr>
        <w:trPr>
          <w:tblHeader w:val="true"/>
          <w:cantSplit/>
        </w:trPr>
        <w:tc>
          <w:tcPr>
            <w:tcW w:type="dxa" w:w="3053"/>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Modelo</w:t>
            </w:r>
          </w:p>
        </w:tc>
        <w:tc>
          <w:tcPr>
            <w:tcW w:type="dxa" w:w="6077"/>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Parámetros seleccionados</w:t>
            </w:r>
          </w:p>
        </w:tc>
      </w:tr>
      <w:tr>
        <w:trPr>
          <w:cantSplit/>
        </w:trPr>
        <w:tc>
          <w:tcPr>
            <w:tcW w:type="dxa" w:w="305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Regresión logística sin clima</w:t>
            </w:r>
          </w:p>
        </w:tc>
        <w:tc>
          <w:tcPr>
            <w:tcW w:type="dxa" w:w="607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 = 1; l1_ratio = 0,25; solver = saga.</w:t>
            </w:r>
          </w:p>
        </w:tc>
      </w:tr>
      <w:tr>
        <w:trPr>
          <w:cantSplit/>
        </w:trPr>
        <w:tc>
          <w:tcPr>
            <w:tcW w:type="dxa" w:w="3053"/>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Regresión logística con clima</w:t>
            </w:r>
          </w:p>
        </w:tc>
        <w:tc>
          <w:tcPr>
            <w:tcW w:type="dxa" w:w="607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 = 0,001; l1_ratio = 0,50; solver = saga.</w:t>
            </w:r>
          </w:p>
        </w:tc>
      </w:tr>
      <w:tr>
        <w:trPr>
          <w:cantSplit/>
        </w:trPr>
        <w:tc>
          <w:tcPr>
            <w:tcW w:type="dxa" w:w="305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Random Forest</w:t>
            </w:r>
          </w:p>
        </w:tc>
        <w:tc>
          <w:tcPr>
            <w:tcW w:type="dxa" w:w="607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150 árboles; profundidad máxima 10; min_samples_split = 5.</w:t>
            </w:r>
          </w:p>
        </w:tc>
      </w:tr>
      <w:tr>
        <w:trPr>
          <w:cantSplit/>
        </w:trPr>
        <w:tc>
          <w:tcPr>
            <w:tcW w:type="dxa" w:w="3053"/>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XGBoost</w:t>
            </w:r>
          </w:p>
        </w:tc>
        <w:tc>
          <w:tcPr>
            <w:tcW w:type="dxa" w:w="607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150 árboles; profundidad máxima 6; learning_rate = 0,20.</w:t>
            </w:r>
          </w:p>
        </w:tc>
      </w:tr>
      <w:tr>
        <w:trPr>
          <w:cantSplit/>
        </w:trPr>
        <w:tc>
          <w:tcPr>
            <w:tcW w:type="dxa" w:w="305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MLP</w:t>
            </w:r>
          </w:p>
        </w:tc>
        <w:tc>
          <w:tcPr>
            <w:tcW w:type="dxa" w:w="607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Capas 64 y 32; alpha = 0,001; learning_rate_init = 0,001.</w:t>
            </w:r>
          </w:p>
        </w:tc>
      </w:tr>
    </w:tbl>
    <w:p>
      <w:pPr>
        <w:spacing w:after="40"/>
      </w:pPr>
    </w:p>
    <w:p>
      <w:pPr>
        <w:pStyle w:val="Heading2"/>
        <w:jc w:val="left"/>
      </w:pPr>
      <w:r>
        <w:rPr>
          <w:lang w:val="es-CO" w:eastAsia="es-CO"/>
        </w:rPr>
        <w:t>4.4. Resultados</w:t>
      </w:r>
    </w:p>
    <w:p>
      <w:pPr>
        <w:keepNext/>
        <w:spacing w:after="100" w:line="276" w:lineRule="auto"/>
        <w:jc w:val="both"/>
      </w:pPr>
      <w:r>
        <w:rPr>
          <w:rFonts w:ascii="Arial" w:hAnsi="Arial" w:eastAsia="Arial" w:cs="Arial"/>
          <w:color w:val="172033"/>
          <w:sz w:val="22"/>
          <w:lang w:val="es-CO" w:eastAsia="es-CO"/>
        </w:rPr>
        <w:t>La tabla presenta los resultados almacenados en la ejecución actualizada del notebook. BA corresponde a balanced accuracy y los valores más bajos de log loss representan una mejor calidad probabilística.</w:t>
      </w:r>
    </w:p>
    <w:tbl>
      <w:tblPr>
        <w:tblW w:type="auto" w:w="0"/>
        <w:jc w:val="center"/>
        <w:tblLayout w:type="fixed"/>
        <w:tblLook w:firstColumn="1" w:firstRow="1" w:lastColumn="0" w:lastRow="0" w:noHBand="0" w:noVBand="1" w:val="04A0"/>
      </w:tblPr>
      <w:tblGrid>
        <w:gridCol w:w="1141"/>
        <w:gridCol w:w="1141"/>
        <w:gridCol w:w="1141"/>
        <w:gridCol w:w="1141"/>
        <w:gridCol w:w="1141"/>
        <w:gridCol w:w="1141"/>
        <w:gridCol w:w="1141"/>
        <w:gridCol w:w="1141"/>
      </w:tblGrid>
      <w:tr>
        <w:trPr>
          <w:tblHeader w:val="true"/>
          <w:cantSplit/>
        </w:trPr>
        <w:tc>
          <w:tcPr>
            <w:tcW w:type="dxa" w:w="2131"/>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6"/>
                <w:lang w:val="es-CO" w:eastAsia="es-CO"/>
              </w:rPr>
              <w:t>Modelo</w:t>
            </w:r>
          </w:p>
        </w:tc>
        <w:tc>
          <w:tcPr>
            <w:tcW w:type="dxa" w:w="691"/>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6"/>
                <w:lang w:val="es-CO" w:eastAsia="es-CO"/>
              </w:rPr>
              <w:t>Clima</w:t>
            </w:r>
          </w:p>
        </w:tc>
        <w:tc>
          <w:tcPr>
            <w:tcW w:type="dxa" w:w="1066"/>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6"/>
                <w:lang w:val="es-CO" w:eastAsia="es-CO"/>
              </w:rPr>
              <w:t>ROC-AUC</w:t>
            </w:r>
          </w:p>
        </w:tc>
        <w:tc>
          <w:tcPr>
            <w:tcW w:type="dxa" w:w="893"/>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6"/>
                <w:lang w:val="es-CO" w:eastAsia="es-CO"/>
              </w:rPr>
              <w:t>F1</w:t>
            </w:r>
          </w:p>
        </w:tc>
        <w:tc>
          <w:tcPr>
            <w:tcW w:type="dxa" w:w="806"/>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6"/>
                <w:lang w:val="es-CO" w:eastAsia="es-CO"/>
              </w:rPr>
              <w:t>BA</w:t>
            </w:r>
          </w:p>
        </w:tc>
        <w:tc>
          <w:tcPr>
            <w:tcW w:type="dxa" w:w="1181"/>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6"/>
                <w:lang w:val="es-CO" w:eastAsia="es-CO"/>
              </w:rPr>
              <w:t>Precisión</w:t>
            </w:r>
          </w:p>
        </w:tc>
        <w:tc>
          <w:tcPr>
            <w:tcW w:type="dxa" w:w="1037"/>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6"/>
                <w:lang w:val="es-CO" w:eastAsia="es-CO"/>
              </w:rPr>
              <w:t>Recall</w:t>
            </w:r>
          </w:p>
        </w:tc>
        <w:tc>
          <w:tcPr>
            <w:tcW w:type="dxa" w:w="1325"/>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6"/>
                <w:lang w:val="es-CO" w:eastAsia="es-CO"/>
              </w:rPr>
              <w:t>Log loss</w:t>
            </w:r>
          </w:p>
        </w:tc>
      </w:tr>
      <w:tr>
        <w:trPr>
          <w:cantSplit/>
        </w:trPr>
        <w:tc>
          <w:tcPr>
            <w:tcW w:type="dxa" w:w="213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5"/>
                <w:lang w:val="es-CO" w:eastAsia="es-CO"/>
              </w:rPr>
              <w:t>Regresión logística</w:t>
            </w:r>
          </w:p>
        </w:tc>
        <w:tc>
          <w:tcPr>
            <w:tcW w:type="dxa" w:w="69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No</w:t>
            </w:r>
          </w:p>
        </w:tc>
        <w:tc>
          <w:tcPr>
            <w:tcW w:type="dxa" w:w="106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0,6574</w:t>
            </w:r>
          </w:p>
        </w:tc>
        <w:tc>
          <w:tcPr>
            <w:tcW w:type="dxa" w:w="89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0,8222</w:t>
            </w:r>
          </w:p>
        </w:tc>
        <w:tc>
          <w:tcPr>
            <w:tcW w:type="dxa" w:w="80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0,5510</w:t>
            </w:r>
          </w:p>
        </w:tc>
        <w:tc>
          <w:tcPr>
            <w:tcW w:type="dxa" w:w="118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0,7109</w:t>
            </w:r>
          </w:p>
        </w:tc>
        <w:tc>
          <w:tcPr>
            <w:tcW w:type="dxa" w:w="103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0,9750</w:t>
            </w:r>
          </w:p>
        </w:tc>
        <w:tc>
          <w:tcPr>
            <w:tcW w:type="dxa" w:w="1325"/>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0,5885</w:t>
            </w:r>
          </w:p>
        </w:tc>
      </w:tr>
      <w:tr>
        <w:trPr>
          <w:cantSplit/>
        </w:trPr>
        <w:tc>
          <w:tcPr>
            <w:tcW w:type="dxa" w:w="213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5"/>
                <w:lang w:val="es-CO" w:eastAsia="es-CO"/>
              </w:rPr>
              <w:t>Random Forest</w:t>
            </w:r>
          </w:p>
        </w:tc>
        <w:tc>
          <w:tcPr>
            <w:tcW w:type="dxa" w:w="69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No</w:t>
            </w:r>
          </w:p>
        </w:tc>
        <w:tc>
          <w:tcPr>
            <w:tcW w:type="dxa" w:w="106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0,7981</w:t>
            </w:r>
          </w:p>
        </w:tc>
        <w:tc>
          <w:tcPr>
            <w:tcW w:type="dxa" w:w="893"/>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0,8491</w:t>
            </w:r>
          </w:p>
        </w:tc>
        <w:tc>
          <w:tcPr>
            <w:tcW w:type="dxa" w:w="80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0,6965</w:t>
            </w:r>
          </w:p>
        </w:tc>
        <w:tc>
          <w:tcPr>
            <w:tcW w:type="dxa" w:w="118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0,7947</w:t>
            </w:r>
          </w:p>
        </w:tc>
        <w:tc>
          <w:tcPr>
            <w:tcW w:type="dxa" w:w="103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0,9115</w:t>
            </w:r>
          </w:p>
        </w:tc>
        <w:tc>
          <w:tcPr>
            <w:tcW w:type="dxa" w:w="1325"/>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0,4903</w:t>
            </w:r>
          </w:p>
        </w:tc>
      </w:tr>
      <w:tr>
        <w:trPr>
          <w:cantSplit/>
        </w:trPr>
        <w:tc>
          <w:tcPr>
            <w:tcW w:type="dxa" w:w="213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5"/>
                <w:lang w:val="es-CO" w:eastAsia="es-CO"/>
              </w:rPr>
              <w:t>XGBoost</w:t>
            </w:r>
          </w:p>
        </w:tc>
        <w:tc>
          <w:tcPr>
            <w:tcW w:type="dxa" w:w="69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No</w:t>
            </w:r>
          </w:p>
        </w:tc>
        <w:tc>
          <w:tcPr>
            <w:tcW w:type="dxa" w:w="106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0,8265</w:t>
            </w:r>
          </w:p>
        </w:tc>
        <w:tc>
          <w:tcPr>
            <w:tcW w:type="dxa" w:w="89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0,8523</w:t>
            </w:r>
          </w:p>
        </w:tc>
        <w:tc>
          <w:tcPr>
            <w:tcW w:type="dxa" w:w="80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0,7158</w:t>
            </w:r>
          </w:p>
        </w:tc>
        <w:tc>
          <w:tcPr>
            <w:tcW w:type="dxa" w:w="118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0,8086</w:t>
            </w:r>
          </w:p>
        </w:tc>
        <w:tc>
          <w:tcPr>
            <w:tcW w:type="dxa" w:w="103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0,9010</w:t>
            </w:r>
          </w:p>
        </w:tc>
        <w:tc>
          <w:tcPr>
            <w:tcW w:type="dxa" w:w="1325"/>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0,4625</w:t>
            </w:r>
          </w:p>
        </w:tc>
      </w:tr>
      <w:tr>
        <w:trPr>
          <w:cantSplit/>
        </w:trPr>
        <w:tc>
          <w:tcPr>
            <w:tcW w:type="dxa" w:w="213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5"/>
                <w:lang w:val="es-CO" w:eastAsia="es-CO"/>
              </w:rPr>
              <w:t>MLP</w:t>
            </w:r>
          </w:p>
        </w:tc>
        <w:tc>
          <w:tcPr>
            <w:tcW w:type="dxa" w:w="69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No</w:t>
            </w:r>
          </w:p>
        </w:tc>
        <w:tc>
          <w:tcPr>
            <w:tcW w:type="dxa" w:w="106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0,7649</w:t>
            </w:r>
          </w:p>
        </w:tc>
        <w:tc>
          <w:tcPr>
            <w:tcW w:type="dxa" w:w="893"/>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0,8416</w:t>
            </w:r>
          </w:p>
        </w:tc>
        <w:tc>
          <w:tcPr>
            <w:tcW w:type="dxa" w:w="80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0,6775</w:t>
            </w:r>
          </w:p>
        </w:tc>
        <w:tc>
          <w:tcPr>
            <w:tcW w:type="dxa" w:w="118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0,7832</w:t>
            </w:r>
          </w:p>
        </w:tc>
        <w:tc>
          <w:tcPr>
            <w:tcW w:type="dxa" w:w="103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0,9094</w:t>
            </w:r>
          </w:p>
        </w:tc>
        <w:tc>
          <w:tcPr>
            <w:tcW w:type="dxa" w:w="1325"/>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0,5127</w:t>
            </w:r>
          </w:p>
        </w:tc>
      </w:tr>
      <w:tr>
        <w:trPr>
          <w:cantSplit/>
        </w:trPr>
        <w:tc>
          <w:tcPr>
            <w:tcW w:type="dxa" w:w="213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5"/>
                <w:lang w:val="es-CO" w:eastAsia="es-CO"/>
              </w:rPr>
              <w:t>Regresión logística</w:t>
            </w:r>
          </w:p>
        </w:tc>
        <w:tc>
          <w:tcPr>
            <w:tcW w:type="dxa" w:w="69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Sí</w:t>
            </w:r>
          </w:p>
        </w:tc>
        <w:tc>
          <w:tcPr>
            <w:tcW w:type="dxa" w:w="106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0,7176</w:t>
            </w:r>
          </w:p>
        </w:tc>
        <w:tc>
          <w:tcPr>
            <w:tcW w:type="dxa" w:w="89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0,8223</w:t>
            </w:r>
          </w:p>
        </w:tc>
        <w:tc>
          <w:tcPr>
            <w:tcW w:type="dxa" w:w="80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0,6421</w:t>
            </w:r>
          </w:p>
        </w:tc>
        <w:tc>
          <w:tcPr>
            <w:tcW w:type="dxa" w:w="118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0,7638</w:t>
            </w:r>
          </w:p>
        </w:tc>
        <w:tc>
          <w:tcPr>
            <w:tcW w:type="dxa" w:w="103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0,8905</w:t>
            </w:r>
          </w:p>
        </w:tc>
        <w:tc>
          <w:tcPr>
            <w:tcW w:type="dxa" w:w="1325"/>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0,5572</w:t>
            </w:r>
          </w:p>
        </w:tc>
      </w:tr>
      <w:tr>
        <w:trPr>
          <w:cantSplit/>
        </w:trPr>
        <w:tc>
          <w:tcPr>
            <w:tcW w:type="dxa" w:w="213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5"/>
                <w:lang w:val="es-CO" w:eastAsia="es-CO"/>
              </w:rPr>
              <w:t>Random Forest</w:t>
            </w:r>
          </w:p>
        </w:tc>
        <w:tc>
          <w:tcPr>
            <w:tcW w:type="dxa" w:w="69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Sí</w:t>
            </w:r>
          </w:p>
        </w:tc>
        <w:tc>
          <w:tcPr>
            <w:tcW w:type="dxa" w:w="106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0,7874</w:t>
            </w:r>
          </w:p>
        </w:tc>
        <w:tc>
          <w:tcPr>
            <w:tcW w:type="dxa" w:w="893"/>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0,8450</w:t>
            </w:r>
          </w:p>
        </w:tc>
        <w:tc>
          <w:tcPr>
            <w:tcW w:type="dxa" w:w="80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0,6862</w:t>
            </w:r>
          </w:p>
        </w:tc>
        <w:tc>
          <w:tcPr>
            <w:tcW w:type="dxa" w:w="118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0,7884</w:t>
            </w:r>
          </w:p>
        </w:tc>
        <w:tc>
          <w:tcPr>
            <w:tcW w:type="dxa" w:w="103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0,9105</w:t>
            </w:r>
          </w:p>
        </w:tc>
        <w:tc>
          <w:tcPr>
            <w:tcW w:type="dxa" w:w="1325"/>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0,4994</w:t>
            </w:r>
          </w:p>
        </w:tc>
      </w:tr>
      <w:tr>
        <w:trPr>
          <w:cantSplit/>
        </w:trPr>
        <w:tc>
          <w:tcPr>
            <w:tcW w:type="dxa" w:w="213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5"/>
                <w:lang w:val="es-CO" w:eastAsia="es-CO"/>
              </w:rPr>
              <w:t>XGBoost</w:t>
            </w:r>
          </w:p>
        </w:tc>
        <w:tc>
          <w:tcPr>
            <w:tcW w:type="dxa" w:w="69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Sí</w:t>
            </w:r>
          </w:p>
        </w:tc>
        <w:tc>
          <w:tcPr>
            <w:tcW w:type="dxa" w:w="106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0,8237</w:t>
            </w:r>
          </w:p>
        </w:tc>
        <w:tc>
          <w:tcPr>
            <w:tcW w:type="dxa" w:w="89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0,8519</w:t>
            </w:r>
          </w:p>
        </w:tc>
        <w:tc>
          <w:tcPr>
            <w:tcW w:type="dxa" w:w="80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0,7149</w:t>
            </w:r>
          </w:p>
        </w:tc>
        <w:tc>
          <w:tcPr>
            <w:tcW w:type="dxa" w:w="118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0,8081</w:t>
            </w:r>
          </w:p>
        </w:tc>
        <w:tc>
          <w:tcPr>
            <w:tcW w:type="dxa" w:w="103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0,9007</w:t>
            </w:r>
          </w:p>
        </w:tc>
        <w:tc>
          <w:tcPr>
            <w:tcW w:type="dxa" w:w="1325"/>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0,4653</w:t>
            </w:r>
          </w:p>
        </w:tc>
      </w:tr>
      <w:tr>
        <w:trPr>
          <w:cantSplit/>
        </w:trPr>
        <w:tc>
          <w:tcPr>
            <w:tcW w:type="dxa" w:w="213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5"/>
                <w:lang w:val="es-CO" w:eastAsia="es-CO"/>
              </w:rPr>
              <w:t>MLP</w:t>
            </w:r>
          </w:p>
        </w:tc>
        <w:tc>
          <w:tcPr>
            <w:tcW w:type="dxa" w:w="69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Sí</w:t>
            </w:r>
          </w:p>
        </w:tc>
        <w:tc>
          <w:tcPr>
            <w:tcW w:type="dxa" w:w="106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0,7720</w:t>
            </w:r>
          </w:p>
        </w:tc>
        <w:tc>
          <w:tcPr>
            <w:tcW w:type="dxa" w:w="893"/>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0,8418</w:t>
            </w:r>
          </w:p>
        </w:tc>
        <w:tc>
          <w:tcPr>
            <w:tcW w:type="dxa" w:w="80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0,6842</w:t>
            </w:r>
          </w:p>
        </w:tc>
        <w:tc>
          <w:tcPr>
            <w:tcW w:type="dxa" w:w="118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0,7880</w:t>
            </w:r>
          </w:p>
        </w:tc>
        <w:tc>
          <w:tcPr>
            <w:tcW w:type="dxa" w:w="103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0,9034</w:t>
            </w:r>
          </w:p>
        </w:tc>
        <w:tc>
          <w:tcPr>
            <w:tcW w:type="dxa" w:w="1325"/>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5"/>
                <w:lang w:val="es-CO" w:eastAsia="es-CO"/>
              </w:rPr>
              <w:t>0,5080</w:t>
            </w:r>
          </w:p>
        </w:tc>
      </w:tr>
    </w:tbl>
    <w:p>
      <w:pPr>
        <w:spacing w:after="40"/>
      </w:pPr>
    </w:p>
    <w:p>
      <w:pPr>
        <w:keepNext/>
        <w:spacing w:before="40" w:after="20"/>
        <w:jc w:val="center"/>
      </w:pPr>
      <w:r>
        <w:drawing>
          <wp:inline xmlns:a="http://schemas.openxmlformats.org/drawingml/2006/main" xmlns:pic="http://schemas.openxmlformats.org/drawingml/2006/picture">
            <wp:extent cx="5760720" cy="2636792"/>
            <wp:docPr id="6" name="Picture 6" descr="Gráfico de barras actualizado que compara ROC-AUC, F1, balanced accuracy, precisión y recall de cuatro modelos de ocurrencia."/>
            <wp:cNvGraphicFramePr>
              <a:graphicFrameLocks noChangeAspect="1"/>
            </wp:cNvGraphicFramePr>
            <a:graphic>
              <a:graphicData uri="http://schemas.openxmlformats.org/drawingml/2006/picture">
                <pic:pic>
                  <pic:nvPicPr>
                    <pic:cNvPr id="0" name="cell_128_output_01.png"/>
                    <pic:cNvPicPr/>
                  </pic:nvPicPr>
                  <pic:blipFill>
                    <a:blip r:embed="rId15"/>
                    <a:stretch>
                      <a:fillRect/>
                    </a:stretch>
                  </pic:blipFill>
                  <pic:spPr>
                    <a:xfrm>
                      <a:off x="0" y="0"/>
                      <a:ext cx="5760720" cy="2636792"/>
                    </a:xfrm>
                    <a:prstGeom prst="rect"/>
                  </pic:spPr>
                </pic:pic>
              </a:graphicData>
            </a:graphic>
          </wp:inline>
        </w:drawing>
      </w:r>
    </w:p>
    <w:p>
      <w:pPr>
        <w:pStyle w:val="Caption"/>
        <w:keepNext w:val="0"/>
        <w:jc w:val="center"/>
      </w:pPr>
      <w:r>
        <w:rPr>
          <w:rFonts w:ascii="Arial" w:hAnsi="Arial" w:eastAsia="Arial" w:cs="Arial"/>
          <w:i/>
          <w:color w:val="454C5B"/>
          <w:sz w:val="18"/>
          <w:lang w:val="es-CO" w:eastAsia="es-CO"/>
        </w:rPr>
        <w:t>Figura 6. Comparación del desempeño de los modelos de ocurrencia con variables meteorológicas.</w:t>
      </w:r>
    </w:p>
    <w:p>
      <w:pPr>
        <w:keepNext w:val="0"/>
        <w:spacing w:after="120" w:line="276" w:lineRule="auto"/>
        <w:jc w:val="both"/>
      </w:pPr>
      <w:r>
        <w:rPr>
          <w:rFonts w:ascii="Arial" w:hAnsi="Arial" w:eastAsia="Arial" w:cs="Arial"/>
          <w:color w:val="172033"/>
          <w:sz w:val="22"/>
          <w:lang w:val="es-CO" w:eastAsia="es-CO"/>
        </w:rPr>
        <w:t>XGBoost sin clima presenta el mayor ROC-AUC, el mayor F1 y la mayor balanced accuracy, además del menor log loss. Al incorporar clima, el ROC-AUC pasa de 0,8265 a 0,8237 y el F1 de 0,8523 a 0,8519. Estas diferencias no alcanzan la mejora relativa de 5 % definida en el requerimiento RA03. En Random Forest, la variable HORA concentra 77,52 % de la importancia, seguida por ZONA_CIUDAD con 13,13 %, DIA_SEMANA con 7,36 % y MES con 1,99 %.</w:t>
      </w:r>
    </w:p>
    <w:p>
      <w:pPr>
        <w:pStyle w:val="Heading2"/>
        <w:jc w:val="left"/>
      </w:pPr>
      <w:r>
        <w:rPr>
          <w:lang w:val="es-CO" w:eastAsia="es-CO"/>
        </w:rPr>
        <w:t>4.5. Análisis y ajustes requeridos</w:t>
      </w:r>
    </w:p>
    <w:p>
      <w:pPr>
        <w:keepNext w:val="0"/>
        <w:spacing w:after="120" w:line="276" w:lineRule="auto"/>
        <w:jc w:val="both"/>
      </w:pPr>
      <w:r>
        <w:rPr>
          <w:rFonts w:ascii="Arial" w:hAnsi="Arial" w:eastAsia="Arial" w:cs="Arial"/>
          <w:color w:val="172033"/>
          <w:sz w:val="22"/>
          <w:lang w:val="es-CO" w:eastAsia="es-CO"/>
        </w:rPr>
        <w:t>Los resultados respaldan la selección de XGBoost sin clima como candidato para construir la criticidad relativa del recorrido. La incorporación de variables meteorológicas no mejora las métricas principales y, por tanto, no se utilizará para modificar el score. El pronóstico meteorológico podrá mostrarse en la interfaz como información contextual independiente.</w:t>
      </w:r>
    </w:p>
    <w:p>
      <w:pPr>
        <w:spacing w:after="80" w:line="269" w:lineRule="auto"/>
        <w:ind w:left="461" w:hanging="288"/>
        <w:jc w:val="both"/>
      </w:pPr>
      <w:r>
        <w:rPr>
          <w:rFonts w:ascii="Arial" w:hAnsi="Arial" w:eastAsia="Arial" w:cs="Arial"/>
          <w:color w:val="000000"/>
          <w:sz w:val="22"/>
        </w:rPr>
        <w:t xml:space="preserve">• </w:t>
      </w:r>
      <w:r>
        <w:rPr>
          <w:rFonts w:ascii="Arial" w:hAnsi="Arial" w:eastAsia="Arial" w:cs="Arial"/>
          <w:color w:val="172033"/>
          <w:sz w:val="22"/>
          <w:lang w:val="es-CO" w:eastAsia="es-CO"/>
        </w:rPr>
        <w:t>Repetir la evaluación con un esquema temporal o con ventanas de validación que permitan observar el comportamiento del modelo en periodos posteriores.</w:t>
      </w:r>
    </w:p>
    <w:p>
      <w:pPr>
        <w:spacing w:after="80" w:line="269" w:lineRule="auto"/>
        <w:ind w:left="461" w:hanging="288"/>
        <w:jc w:val="both"/>
      </w:pPr>
      <w:r>
        <w:rPr>
          <w:rFonts w:ascii="Arial" w:hAnsi="Arial" w:eastAsia="Arial" w:cs="Arial"/>
          <w:color w:val="000000"/>
          <w:sz w:val="22"/>
        </w:rPr>
        <w:t xml:space="preserve">• </w:t>
      </w:r>
      <w:r>
        <w:rPr>
          <w:rFonts w:ascii="Arial" w:hAnsi="Arial" w:eastAsia="Arial" w:cs="Arial"/>
          <w:color w:val="172033"/>
          <w:sz w:val="22"/>
          <w:lang w:val="es-CO" w:eastAsia="es-CO"/>
        </w:rPr>
        <w:t>Exportar el pipeline con el preprocesamiento, el modelo, los centroides, las variables de entrada y la versión del conjunto de datos.</w:t>
      </w:r>
    </w:p>
    <w:p>
      <w:pPr>
        <w:spacing w:after="80" w:line="269" w:lineRule="auto"/>
        <w:ind w:left="461" w:hanging="288"/>
        <w:jc w:val="both"/>
      </w:pPr>
      <w:r>
        <w:rPr>
          <w:rFonts w:ascii="Arial" w:hAnsi="Arial" w:eastAsia="Arial" w:cs="Arial"/>
          <w:color w:val="000000"/>
          <w:sz w:val="22"/>
        </w:rPr>
        <w:t xml:space="preserve">• </w:t>
      </w:r>
      <w:r>
        <w:rPr>
          <w:rFonts w:ascii="Arial" w:hAnsi="Arial" w:eastAsia="Arial" w:cs="Arial"/>
          <w:color w:val="172033"/>
          <w:sz w:val="22"/>
          <w:lang w:val="es-CO" w:eastAsia="es-CO"/>
        </w:rPr>
        <w:t>Definir los umbrales de criticidad Bajo, Moderado, Alto y Muy alto a partir de la distribución del score y comprobar su estabilidad por periodo y zona.</w:t>
      </w:r>
    </w:p>
    <w:p>
      <w:pPr>
        <w:spacing w:after="80" w:line="269" w:lineRule="auto"/>
        <w:ind w:left="461" w:hanging="288"/>
        <w:jc w:val="both"/>
      </w:pPr>
      <w:r>
        <w:rPr>
          <w:rFonts w:ascii="Arial" w:hAnsi="Arial" w:eastAsia="Arial" w:cs="Arial"/>
          <w:color w:val="000000"/>
          <w:sz w:val="22"/>
        </w:rPr>
        <w:t xml:space="preserve">• </w:t>
      </w:r>
      <w:r>
        <w:rPr>
          <w:rFonts w:ascii="Arial" w:hAnsi="Arial" w:eastAsia="Arial" w:cs="Arial"/>
          <w:color w:val="172033"/>
          <w:sz w:val="22"/>
          <w:lang w:val="es-CO" w:eastAsia="es-CO"/>
        </w:rPr>
        <w:t>Validar que por lo menos 95 % de los tramos generados puedan asignarse a una zona y recibir una categoría de criticidad.</w:t>
      </w:r>
    </w:p>
    <w:p>
      <w:pPr>
        <w:spacing w:after="80" w:line="269" w:lineRule="auto"/>
        <w:ind w:left="461" w:hanging="288"/>
        <w:jc w:val="both"/>
      </w:pPr>
      <w:r>
        <w:rPr>
          <w:rFonts w:ascii="Arial" w:hAnsi="Arial" w:eastAsia="Arial" w:cs="Arial"/>
          <w:color w:val="000000"/>
          <w:sz w:val="22"/>
        </w:rPr>
        <w:t xml:space="preserve">• </w:t>
      </w:r>
      <w:r>
        <w:rPr>
          <w:rFonts w:ascii="Arial" w:hAnsi="Arial" w:eastAsia="Arial" w:cs="Arial"/>
          <w:color w:val="172033"/>
          <w:sz w:val="22"/>
          <w:lang w:val="es-CO" w:eastAsia="es-CO"/>
        </w:rPr>
        <w:t>Mantener en la interfaz el término criticidad relativa, ya que la etiqueta representa recurrencia histórica y no una probabilidad calibrada de accidente futuro.</w:t>
      </w:r>
    </w:p>
    <w:p>
      <w:pPr>
        <w:pStyle w:val="Heading1"/>
        <w:jc w:val="left"/>
      </w:pPr>
      <w:r>
        <w:rPr>
          <w:lang w:val="es-CO" w:eastAsia="es-CO"/>
        </w:rPr>
        <w:t>5. Modelo de estado del actor vial</w:t>
      </w:r>
    </w:p>
    <w:p>
      <w:pPr>
        <w:pStyle w:val="Heading2"/>
        <w:jc w:val="left"/>
      </w:pPr>
      <w:r>
        <w:rPr>
          <w:lang w:val="es-CO" w:eastAsia="es-CO"/>
        </w:rPr>
        <w:t>5.1. Objetivo y variable de respuesta</w:t>
      </w:r>
    </w:p>
    <w:p>
      <w:pPr>
        <w:keepNext w:val="0"/>
        <w:spacing w:after="120" w:line="276" w:lineRule="auto"/>
        <w:jc w:val="both"/>
      </w:pPr>
      <w:r>
        <w:rPr>
          <w:rFonts w:ascii="Arial" w:hAnsi="Arial" w:eastAsia="Arial" w:cs="Arial"/>
          <w:color w:val="172033"/>
          <w:sz w:val="22"/>
          <w:lang w:val="es-CO" w:eastAsia="es-CO"/>
        </w:rPr>
        <w:t>Este modelo estima el estado de una persona involucrada en un accidente entre HERIDO, ILESO y MUERTO. Se retiran 6.806 registros clasificados como SIN INFORMACION antes de cualquier partición, porque representan ausencia de dato y no una consecuencia observable. El conjunto final contiene 1.920.680 actores: 1.430.090 ilesos, 475.035 heridos y 15.555 fallecidos.</w:t>
      </w:r>
    </w:p>
    <w:p>
      <w:pPr>
        <w:keepNext/>
        <w:spacing w:after="100" w:line="276" w:lineRule="auto"/>
        <w:jc w:val="both"/>
      </w:pPr>
      <w:r>
        <w:rPr>
          <w:rFonts w:ascii="Arial" w:hAnsi="Arial" w:eastAsia="Arial" w:cs="Arial"/>
          <w:color w:val="172033"/>
          <w:sz w:val="22"/>
          <w:lang w:val="es-CO" w:eastAsia="es-CO"/>
        </w:rPr>
        <w:t>La distribución de la variable objetivo confirma un desbalance importante y justifica el uso de métricas macro:</w:t>
      </w:r>
    </w:p>
    <w:tbl>
      <w:tblPr>
        <w:tblW w:type="auto" w:w="0"/>
        <w:jc w:val="center"/>
        <w:tblLayout w:type="fixed"/>
        <w:tblLook w:firstColumn="1" w:firstRow="1" w:lastColumn="0" w:lastRow="0" w:noHBand="0" w:noVBand="1" w:val="04A0"/>
      </w:tblPr>
      <w:tblGrid>
        <w:gridCol w:w="3043"/>
        <w:gridCol w:w="3043"/>
        <w:gridCol w:w="3043"/>
      </w:tblGrid>
      <w:tr>
        <w:trPr>
          <w:tblHeader w:val="true"/>
          <w:cantSplit/>
        </w:trPr>
        <w:tc>
          <w:tcPr>
            <w:tcW w:type="dxa" w:w="3024"/>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Estado</w:t>
            </w:r>
          </w:p>
        </w:tc>
        <w:tc>
          <w:tcPr>
            <w:tcW w:type="dxa" w:w="3024"/>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Registros</w:t>
            </w:r>
          </w:p>
        </w:tc>
        <w:tc>
          <w:tcPr>
            <w:tcW w:type="dxa" w:w="3082"/>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Participación</w:t>
            </w:r>
          </w:p>
        </w:tc>
      </w:tr>
      <w:tr>
        <w:trPr>
          <w:cantSplit/>
        </w:trPr>
        <w:tc>
          <w:tcPr>
            <w:tcW w:type="dxa" w:w="302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9"/>
                <w:lang w:val="es-CO" w:eastAsia="es-CO"/>
              </w:rPr>
              <w:t>HERIDO</w:t>
            </w:r>
          </w:p>
        </w:tc>
        <w:tc>
          <w:tcPr>
            <w:tcW w:type="dxa" w:w="302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9"/>
                <w:lang w:val="es-CO" w:eastAsia="es-CO"/>
              </w:rPr>
              <w:t>475.035</w:t>
            </w:r>
          </w:p>
        </w:tc>
        <w:tc>
          <w:tcPr>
            <w:tcW w:type="dxa" w:w="308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9"/>
                <w:lang w:val="es-CO" w:eastAsia="es-CO"/>
              </w:rPr>
              <w:t>24,7326 %</w:t>
            </w:r>
          </w:p>
        </w:tc>
      </w:tr>
      <w:tr>
        <w:trPr>
          <w:cantSplit/>
        </w:trPr>
        <w:tc>
          <w:tcPr>
            <w:tcW w:type="dxa" w:w="3024"/>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9"/>
                <w:lang w:val="es-CO" w:eastAsia="es-CO"/>
              </w:rPr>
              <w:t>ILESO</w:t>
            </w:r>
          </w:p>
        </w:tc>
        <w:tc>
          <w:tcPr>
            <w:tcW w:type="dxa" w:w="3024"/>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9"/>
                <w:lang w:val="es-CO" w:eastAsia="es-CO"/>
              </w:rPr>
              <w:t>1.430.090</w:t>
            </w:r>
          </w:p>
        </w:tc>
        <w:tc>
          <w:tcPr>
            <w:tcW w:type="dxa" w:w="308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9"/>
                <w:lang w:val="es-CO" w:eastAsia="es-CO"/>
              </w:rPr>
              <w:t>74,4575 %</w:t>
            </w:r>
          </w:p>
        </w:tc>
      </w:tr>
      <w:tr>
        <w:trPr>
          <w:cantSplit/>
        </w:trPr>
        <w:tc>
          <w:tcPr>
            <w:tcW w:type="dxa" w:w="302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9"/>
                <w:lang w:val="es-CO" w:eastAsia="es-CO"/>
              </w:rPr>
              <w:t>MUERTO</w:t>
            </w:r>
          </w:p>
        </w:tc>
        <w:tc>
          <w:tcPr>
            <w:tcW w:type="dxa" w:w="302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9"/>
                <w:lang w:val="es-CO" w:eastAsia="es-CO"/>
              </w:rPr>
              <w:t>15.555</w:t>
            </w:r>
          </w:p>
        </w:tc>
        <w:tc>
          <w:tcPr>
            <w:tcW w:type="dxa" w:w="308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9"/>
                <w:lang w:val="es-CO" w:eastAsia="es-CO"/>
              </w:rPr>
              <w:t>0,8099 %</w:t>
            </w:r>
          </w:p>
        </w:tc>
      </w:tr>
    </w:tbl>
    <w:p>
      <w:pPr>
        <w:spacing w:after="40"/>
      </w:pPr>
    </w:p>
    <w:p>
      <w:pPr>
        <w:pStyle w:val="Heading2"/>
        <w:jc w:val="left"/>
      </w:pPr>
      <w:r>
        <w:rPr>
          <w:lang w:val="es-CO" w:eastAsia="es-CO"/>
        </w:rPr>
        <w:t>5.2. Paso a paso del notebook</w:t>
      </w:r>
    </w:p>
    <w:p>
      <w:pPr>
        <w:spacing w:after="80" w:line="269" w:lineRule="auto"/>
        <w:ind w:left="461" w:hanging="346"/>
        <w:jc w:val="both"/>
      </w:pPr>
      <w:r>
        <w:rPr>
          <w:rFonts w:ascii="Arial" w:hAnsi="Arial" w:eastAsia="Arial" w:cs="Arial"/>
          <w:b/>
          <w:color w:val="172033"/>
          <w:sz w:val="22"/>
          <w:lang w:val="es-CO" w:eastAsia="es-CO"/>
        </w:rPr>
        <w:t xml:space="preserve">1. </w:t>
      </w:r>
      <w:r>
        <w:rPr>
          <w:rFonts w:ascii="Arial" w:hAnsi="Arial" w:eastAsia="Arial" w:cs="Arial"/>
          <w:b/>
          <w:color w:val="172033"/>
          <w:sz w:val="22"/>
          <w:lang w:val="es-CO" w:eastAsia="es-CO"/>
        </w:rPr>
        <w:t xml:space="preserve">Integración y depuración. </w:t>
      </w:r>
      <w:r>
        <w:rPr>
          <w:rFonts w:ascii="Arial" w:hAnsi="Arial" w:eastAsia="Arial" w:cs="Arial"/>
          <w:color w:val="172033"/>
          <w:sz w:val="22"/>
          <w:lang w:val="es-CO" w:eastAsia="es-CO"/>
        </w:rPr>
        <w:t>Se cargan las variables del actor, vehículo, vía, ubicación, tiempo y clima; después se retiran los estados sin información.</w:t>
      </w:r>
    </w:p>
    <w:p>
      <w:pPr>
        <w:spacing w:after="80" w:line="269" w:lineRule="auto"/>
        <w:ind w:left="461" w:hanging="346"/>
        <w:jc w:val="both"/>
      </w:pPr>
      <w:r>
        <w:rPr>
          <w:rFonts w:ascii="Arial" w:hAnsi="Arial" w:eastAsia="Arial" w:cs="Arial"/>
          <w:b/>
          <w:color w:val="172033"/>
          <w:sz w:val="22"/>
          <w:lang w:val="es-CO" w:eastAsia="es-CO"/>
        </w:rPr>
        <w:t xml:space="preserve">2. </w:t>
      </w:r>
      <w:r>
        <w:rPr>
          <w:rFonts w:ascii="Arial" w:hAnsi="Arial" w:eastAsia="Arial" w:cs="Arial"/>
          <w:b/>
          <w:color w:val="172033"/>
          <w:sz w:val="22"/>
          <w:lang w:val="es-CO" w:eastAsia="es-CO"/>
        </w:rPr>
        <w:t xml:space="preserve">Análisis descriptivo. </w:t>
      </w:r>
      <w:r>
        <w:rPr>
          <w:rFonts w:ascii="Arial" w:hAnsi="Arial" w:eastAsia="Arial" w:cs="Arial"/>
          <w:color w:val="172033"/>
          <w:sz w:val="22"/>
          <w:lang w:val="es-CO" w:eastAsia="es-CO"/>
        </w:rPr>
        <w:t>Se revisan el desbalance, los faltantes, las variaciones temporales, las 150 zonas y la relación descriptiva con las variables meteorológicas.</w:t>
      </w:r>
    </w:p>
    <w:p>
      <w:pPr>
        <w:spacing w:after="80" w:line="269" w:lineRule="auto"/>
        <w:ind w:left="461" w:hanging="346"/>
        <w:jc w:val="both"/>
      </w:pPr>
      <w:r>
        <w:rPr>
          <w:rFonts w:ascii="Arial" w:hAnsi="Arial" w:eastAsia="Arial" w:cs="Arial"/>
          <w:b/>
          <w:color w:val="172033"/>
          <w:sz w:val="22"/>
          <w:lang w:val="es-CO" w:eastAsia="es-CO"/>
        </w:rPr>
        <w:t xml:space="preserve">3. </w:t>
      </w:r>
      <w:r>
        <w:rPr>
          <w:rFonts w:ascii="Arial" w:hAnsi="Arial" w:eastAsia="Arial" w:cs="Arial"/>
          <w:b/>
          <w:color w:val="172033"/>
          <w:sz w:val="22"/>
          <w:lang w:val="es-CO" w:eastAsia="es-CO"/>
        </w:rPr>
        <w:t xml:space="preserve">Escenarios de variables. </w:t>
      </w:r>
      <w:r>
        <w:rPr>
          <w:rFonts w:ascii="Arial" w:hAnsi="Arial" w:eastAsia="Arial" w:cs="Arial"/>
          <w:color w:val="172033"/>
          <w:sz w:val="22"/>
          <w:lang w:val="es-CO" w:eastAsia="es-CO"/>
        </w:rPr>
        <w:t>Se construyen cuatro escenarios: completo y operativo, cada uno con y sin clima. Los escenarios operativos bloquean la clase del accidente, la condición y las variables de vía que no estarían disponibles durante una consulta.</w:t>
      </w:r>
    </w:p>
    <w:p>
      <w:pPr>
        <w:spacing w:after="80" w:line="269" w:lineRule="auto"/>
        <w:ind w:left="461" w:hanging="346"/>
        <w:jc w:val="both"/>
      </w:pPr>
      <w:r>
        <w:rPr>
          <w:rFonts w:ascii="Arial" w:hAnsi="Arial" w:eastAsia="Arial" w:cs="Arial"/>
          <w:b/>
          <w:color w:val="172033"/>
          <w:sz w:val="22"/>
          <w:lang w:val="es-CO" w:eastAsia="es-CO"/>
        </w:rPr>
        <w:t xml:space="preserve">4. </w:t>
      </w:r>
      <w:r>
        <w:rPr>
          <w:rFonts w:ascii="Arial" w:hAnsi="Arial" w:eastAsia="Arial" w:cs="Arial"/>
          <w:b/>
          <w:color w:val="172033"/>
          <w:sz w:val="22"/>
          <w:lang w:val="es-CO" w:eastAsia="es-CO"/>
        </w:rPr>
        <w:t xml:space="preserve">Partición temporal. </w:t>
      </w:r>
      <w:r>
        <w:rPr>
          <w:rFonts w:ascii="Arial" w:hAnsi="Arial" w:eastAsia="Arial" w:cs="Arial"/>
          <w:color w:val="172033"/>
          <w:sz w:val="22"/>
          <w:lang w:val="es-CO" w:eastAsia="es-CO"/>
        </w:rPr>
        <w:t>Los años 2007–2020 se utilizan para entrenamiento, 2021–2023 para validación y selección, y 2024–2026 para prueba final. Los actores de un mismo accidente permanecen en la misma partición.</w:t>
      </w:r>
    </w:p>
    <w:p>
      <w:pPr>
        <w:spacing w:after="80" w:line="269" w:lineRule="auto"/>
        <w:ind w:left="461" w:hanging="346"/>
        <w:jc w:val="both"/>
      </w:pPr>
      <w:r>
        <w:rPr>
          <w:rFonts w:ascii="Arial" w:hAnsi="Arial" w:eastAsia="Arial" w:cs="Arial"/>
          <w:b/>
          <w:color w:val="172033"/>
          <w:sz w:val="22"/>
          <w:lang w:val="es-CO" w:eastAsia="es-CO"/>
        </w:rPr>
        <w:t xml:space="preserve">5. </w:t>
      </w:r>
      <w:r>
        <w:rPr>
          <w:rFonts w:ascii="Arial" w:hAnsi="Arial" w:eastAsia="Arial" w:cs="Arial"/>
          <w:b/>
          <w:color w:val="172033"/>
          <w:sz w:val="22"/>
          <w:lang w:val="es-CO" w:eastAsia="es-CO"/>
        </w:rPr>
        <w:t xml:space="preserve">Entrenamiento y selección. </w:t>
      </w:r>
      <w:r>
        <w:rPr>
          <w:rFonts w:ascii="Arial" w:hAnsi="Arial" w:eastAsia="Arial" w:cs="Arial"/>
          <w:color w:val="172033"/>
          <w:sz w:val="22"/>
          <w:lang w:val="es-CO" w:eastAsia="es-CO"/>
        </w:rPr>
        <w:t>Se comparan cuatro familias de modelos, se ajustan pesos de clase e hiperparámetros y se selecciona por F1 macro, balanced accuracy y log loss.</w:t>
      </w:r>
    </w:p>
    <w:p>
      <w:pPr>
        <w:spacing w:after="80" w:line="269" w:lineRule="auto"/>
        <w:ind w:left="461" w:hanging="346"/>
        <w:jc w:val="both"/>
      </w:pPr>
      <w:r>
        <w:rPr>
          <w:rFonts w:ascii="Arial" w:hAnsi="Arial" w:eastAsia="Arial" w:cs="Arial"/>
          <w:b/>
          <w:color w:val="172033"/>
          <w:sz w:val="22"/>
          <w:lang w:val="es-CO" w:eastAsia="es-CO"/>
        </w:rPr>
        <w:t xml:space="preserve">6. </w:t>
      </w:r>
      <w:r>
        <w:rPr>
          <w:rFonts w:ascii="Arial" w:hAnsi="Arial" w:eastAsia="Arial" w:cs="Arial"/>
          <w:b/>
          <w:color w:val="172033"/>
          <w:sz w:val="22"/>
          <w:lang w:val="es-CO" w:eastAsia="es-CO"/>
        </w:rPr>
        <w:t xml:space="preserve">Pruebas adicionales. </w:t>
      </w:r>
      <w:r>
        <w:rPr>
          <w:rFonts w:ascii="Arial" w:hAnsi="Arial" w:eastAsia="Arial" w:cs="Arial"/>
          <w:color w:val="172033"/>
          <w:sz w:val="22"/>
          <w:lang w:val="es-CO" w:eastAsia="es-CO"/>
        </w:rPr>
        <w:t>Se ejecutan bootstrap pareado, backtesting, intervalos de confianza, diagnóstico por clase, estabilidad anual e importancia por permutación.</w:t>
      </w:r>
    </w:p>
    <w:p>
      <w:pPr>
        <w:spacing w:after="80" w:line="269" w:lineRule="auto"/>
        <w:ind w:left="461" w:hanging="346"/>
        <w:jc w:val="both"/>
      </w:pPr>
      <w:r>
        <w:rPr>
          <w:rFonts w:ascii="Arial" w:hAnsi="Arial" w:eastAsia="Arial" w:cs="Arial"/>
          <w:b/>
          <w:color w:val="172033"/>
          <w:sz w:val="22"/>
          <w:lang w:val="es-CO" w:eastAsia="es-CO"/>
        </w:rPr>
        <w:t xml:space="preserve">7. </w:t>
      </w:r>
      <w:r>
        <w:rPr>
          <w:rFonts w:ascii="Arial" w:hAnsi="Arial" w:eastAsia="Arial" w:cs="Arial"/>
          <w:b/>
          <w:color w:val="172033"/>
          <w:sz w:val="22"/>
          <w:lang w:val="es-CO" w:eastAsia="es-CO"/>
        </w:rPr>
        <w:t xml:space="preserve">Exportación. </w:t>
      </w:r>
      <w:r>
        <w:rPr>
          <w:rFonts w:ascii="Arial" w:hAnsi="Arial" w:eastAsia="Arial" w:cs="Arial"/>
          <w:color w:val="172033"/>
          <w:sz w:val="22"/>
          <w:lang w:val="es-CO" w:eastAsia="es-CO"/>
        </w:rPr>
        <w:t>Se guarda el pipeline de XGBoost, sus metadatos y los centroides necesarios para reproducir la inferencia.</w:t>
      </w:r>
    </w:p>
    <w:p>
      <w:pPr>
        <w:pStyle w:val="Heading2"/>
        <w:jc w:val="left"/>
      </w:pPr>
      <w:r>
        <w:rPr>
          <w:lang w:val="es-CO" w:eastAsia="es-CO"/>
        </w:rPr>
        <w:t>5.3. Entrenamiento y selección</w:t>
      </w:r>
    </w:p>
    <w:p>
      <w:pPr>
        <w:keepNext w:val="0"/>
        <w:spacing w:after="120" w:line="276" w:lineRule="auto"/>
        <w:jc w:val="both"/>
      </w:pPr>
      <w:r>
        <w:rPr>
          <w:rFonts w:ascii="Arial" w:hAnsi="Arial" w:eastAsia="Arial" w:cs="Arial"/>
          <w:color w:val="172033"/>
          <w:sz w:val="22"/>
          <w:lang w:val="es-CO" w:eastAsia="es-CO"/>
        </w:rPr>
        <w:t>El escenario operativo sin clima utiliza 16 entradas relacionadas con ubicación, variables cíclicas de mes, día y hora, edad, género, clase de vehículo y servicio. XGBoost fue seleccionado con 240 árboles, profundidad máxima 4, learning rate de 0,08, min_child_weight de 10 y potencia de peso de clase de 0,90. En validación obtuvo F1 macro 0,5758, balanced accuracy 0,5874 y ROC-AUC macro 0,8614.</w:t>
      </w:r>
    </w:p>
    <w:p>
      <w:pPr>
        <w:keepNext w:val="0"/>
        <w:spacing w:after="120" w:line="276" w:lineRule="auto"/>
        <w:jc w:val="both"/>
      </w:pPr>
      <w:r>
        <w:rPr>
          <w:rFonts w:ascii="Arial" w:hAnsi="Arial" w:eastAsia="Arial" w:cs="Arial"/>
          <w:color w:val="172033"/>
          <w:sz w:val="22"/>
          <w:lang w:val="es-CO" w:eastAsia="es-CO"/>
        </w:rPr>
        <w:t>El bootstrap pareado muestra que agregar clima al escenario operativo aumenta el F1 macro solamente 0,0014 y la balanced accuracy 0,0010; ambos intervalos de confianza incluyen cero. El resultado no supera el criterio de mejora relativa de 5 %. Por esta razón, el escenario final se conserva sin clima, lo que simplifica la integración y evita depender de variables que no mejoran de manera consistente la clasificación.</w:t>
      </w:r>
    </w:p>
    <w:p>
      <w:pPr>
        <w:keepNext/>
        <w:spacing w:before="40" w:after="20"/>
        <w:jc w:val="center"/>
      </w:pPr>
      <w:r>
        <w:drawing>
          <wp:inline xmlns:a="http://schemas.openxmlformats.org/drawingml/2006/main" xmlns:pic="http://schemas.openxmlformats.org/drawingml/2006/picture">
            <wp:extent cx="5760720" cy="3599997"/>
            <wp:docPr id="7" name="Picture 7" descr="Gráfico que compara F1 macro y balanced accuracy de cuatro modelos, con variables completas y operativas, con y sin clima."/>
            <wp:cNvGraphicFramePr>
              <a:graphicFrameLocks noChangeAspect="1"/>
            </wp:cNvGraphicFramePr>
            <a:graphic>
              <a:graphicData uri="http://schemas.openxmlformats.org/drawingml/2006/picture">
                <pic:pic>
                  <pic:nvPicPr>
                    <pic:cNvPr id="0" name="cell_131_output_01.png"/>
                    <pic:cNvPicPr/>
                  </pic:nvPicPr>
                  <pic:blipFill>
                    <a:blip r:embed="rId16"/>
                    <a:stretch>
                      <a:fillRect/>
                    </a:stretch>
                  </pic:blipFill>
                  <pic:spPr>
                    <a:xfrm>
                      <a:off x="0" y="0"/>
                      <a:ext cx="5760720" cy="3599997"/>
                    </a:xfrm>
                    <a:prstGeom prst="rect"/>
                  </pic:spPr>
                </pic:pic>
              </a:graphicData>
            </a:graphic>
          </wp:inline>
        </w:drawing>
      </w:r>
    </w:p>
    <w:p>
      <w:pPr>
        <w:pStyle w:val="Caption"/>
        <w:keepNext w:val="0"/>
        <w:jc w:val="center"/>
      </w:pPr>
      <w:r>
        <w:rPr>
          <w:rFonts w:ascii="Arial" w:hAnsi="Arial" w:eastAsia="Arial" w:cs="Arial"/>
          <w:i/>
          <w:color w:val="454C5B"/>
          <w:sz w:val="18"/>
          <w:lang w:val="es-CO" w:eastAsia="es-CO"/>
        </w:rPr>
        <w:t>Figura 7. Comparación de los modelos para el estado del actor vial.</w:t>
      </w:r>
    </w:p>
    <w:p>
      <w:pPr>
        <w:pStyle w:val="Heading2"/>
        <w:jc w:val="left"/>
      </w:pPr>
      <w:r>
        <w:rPr>
          <w:lang w:val="es-CO" w:eastAsia="es-CO"/>
        </w:rPr>
        <w:t>5.4. Resultados de la prueba temporal</w:t>
      </w:r>
    </w:p>
    <w:p>
      <w:pPr>
        <w:keepNext w:val="0"/>
        <w:spacing w:after="120" w:line="276" w:lineRule="auto"/>
        <w:jc w:val="both"/>
      </w:pPr>
      <w:r>
        <w:rPr>
          <w:rFonts w:ascii="Arial" w:hAnsi="Arial" w:eastAsia="Arial" w:cs="Arial"/>
          <w:color w:val="172033"/>
          <w:sz w:val="22"/>
          <w:lang w:val="es-CO" w:eastAsia="es-CO"/>
        </w:rPr>
        <w:t>Después de cerrar la selección con validación, el modelo se reajusta con una muestra estratificada de 600.000 actores del periodo 2007–2023 y se evalúa una sola vez sobre 2024–2026. XGBoost operativo sin clima alcanza accuracy 0,7747, balanced accuracy 0,5926, F1 macro 0,5688, PR-AUC macro 0,5747, ROC-AUC macro 0,8367 y log loss 0,6091. El intervalo de confianza del F1 macro se encuentra entre 0,5623 y 0,5748; para balanced accuracy se ubica entre 0,5840 y 0,6000.</w:t>
      </w:r>
    </w:p>
    <w:p>
      <w:pPr>
        <w:keepNext/>
        <w:spacing w:after="100" w:line="276" w:lineRule="auto"/>
        <w:jc w:val="both"/>
      </w:pPr>
      <w:r>
        <w:rPr>
          <w:rFonts w:ascii="Arial" w:hAnsi="Arial" w:eastAsia="Arial" w:cs="Arial"/>
          <w:color w:val="172033"/>
          <w:sz w:val="22"/>
          <w:lang w:val="es-CO" w:eastAsia="es-CO"/>
        </w:rPr>
        <w:t>El desempeño por clase muestra una diferencia marcada entre las categorías frecuentes y la clase minoritaria:</w:t>
      </w:r>
    </w:p>
    <w:tbl>
      <w:tblPr>
        <w:tblW w:type="auto" w:w="0"/>
        <w:jc w:val="center"/>
        <w:tblLayout w:type="fixed"/>
        <w:tblLook w:firstColumn="1" w:firstRow="1" w:lastColumn="0" w:lastRow="0" w:noHBand="0" w:noVBand="1" w:val="04A0"/>
      </w:tblPr>
      <w:tblGrid>
        <w:gridCol w:w="1522"/>
        <w:gridCol w:w="1522"/>
        <w:gridCol w:w="1522"/>
        <w:gridCol w:w="1522"/>
        <w:gridCol w:w="1522"/>
        <w:gridCol w:w="1522"/>
      </w:tblGrid>
      <w:tr>
        <w:trPr>
          <w:tblHeader w:val="true"/>
          <w:cantSplit/>
        </w:trPr>
        <w:tc>
          <w:tcPr>
            <w:tcW w:type="dxa" w:w="1238"/>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Clase</w:t>
            </w:r>
          </w:p>
        </w:tc>
        <w:tc>
          <w:tcPr>
            <w:tcW w:type="dxa" w:w="1181"/>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Precisión</w:t>
            </w:r>
          </w:p>
        </w:tc>
        <w:tc>
          <w:tcPr>
            <w:tcW w:type="dxa" w:w="1037"/>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Recall</w:t>
            </w:r>
          </w:p>
        </w:tc>
        <w:tc>
          <w:tcPr>
            <w:tcW w:type="dxa" w:w="950"/>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F1</w:t>
            </w:r>
          </w:p>
        </w:tc>
        <w:tc>
          <w:tcPr>
            <w:tcW w:type="dxa" w:w="1123"/>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Soporte</w:t>
            </w:r>
          </w:p>
        </w:tc>
        <w:tc>
          <w:tcPr>
            <w:tcW w:type="dxa" w:w="3600"/>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Interpretación</w:t>
            </w:r>
          </w:p>
        </w:tc>
      </w:tr>
      <w:tr>
        <w:trPr>
          <w:cantSplit/>
        </w:trPr>
        <w:tc>
          <w:tcPr>
            <w:tcW w:type="dxa" w:w="123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6"/>
                <w:lang w:val="es-CO" w:eastAsia="es-CO"/>
              </w:rPr>
              <w:t>HERIDO</w:t>
            </w:r>
          </w:p>
        </w:tc>
        <w:tc>
          <w:tcPr>
            <w:tcW w:type="dxa" w:w="118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0,8819</w:t>
            </w:r>
          </w:p>
        </w:tc>
        <w:tc>
          <w:tcPr>
            <w:tcW w:type="dxa" w:w="103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0,7862</w:t>
            </w:r>
          </w:p>
        </w:tc>
        <w:tc>
          <w:tcPr>
            <w:tcW w:type="dxa" w:w="95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0,8313</w:t>
            </w:r>
          </w:p>
        </w:tc>
        <w:tc>
          <w:tcPr>
            <w:tcW w:type="dxa" w:w="112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50.764</w:t>
            </w:r>
          </w:p>
        </w:tc>
        <w:tc>
          <w:tcPr>
            <w:tcW w:type="dxa" w:w="360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Es la clase con mejor desempeño en la prueba.</w:t>
            </w:r>
          </w:p>
        </w:tc>
      </w:tr>
      <w:tr>
        <w:trPr>
          <w:cantSplit/>
        </w:trPr>
        <w:tc>
          <w:tcPr>
            <w:tcW w:type="dxa" w:w="123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6"/>
                <w:lang w:val="es-CO" w:eastAsia="es-CO"/>
              </w:rPr>
              <w:t>ILESO</w:t>
            </w:r>
          </w:p>
        </w:tc>
        <w:tc>
          <w:tcPr>
            <w:tcW w:type="dxa" w:w="118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0,6565</w:t>
            </w:r>
          </w:p>
        </w:tc>
        <w:tc>
          <w:tcPr>
            <w:tcW w:type="dxa" w:w="103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0,7864</w:t>
            </w:r>
          </w:p>
        </w:tc>
        <w:tc>
          <w:tcPr>
            <w:tcW w:type="dxa" w:w="95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0,7156</w:t>
            </w:r>
          </w:p>
        </w:tc>
        <w:tc>
          <w:tcPr>
            <w:tcW w:type="dxa" w:w="1123"/>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23.505</w:t>
            </w:r>
          </w:p>
        </w:tc>
        <w:tc>
          <w:tcPr>
            <w:tcW w:type="dxa" w:w="360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Mantiene una capacidad de reconocimiento consistente.</w:t>
            </w:r>
          </w:p>
        </w:tc>
      </w:tr>
      <w:tr>
        <w:trPr>
          <w:cantSplit/>
        </w:trPr>
        <w:tc>
          <w:tcPr>
            <w:tcW w:type="dxa" w:w="123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6"/>
                <w:lang w:val="es-CO" w:eastAsia="es-CO"/>
              </w:rPr>
              <w:t>MUERTO</w:t>
            </w:r>
          </w:p>
        </w:tc>
        <w:tc>
          <w:tcPr>
            <w:tcW w:type="dxa" w:w="118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0,1304</w:t>
            </w:r>
          </w:p>
        </w:tc>
        <w:tc>
          <w:tcPr>
            <w:tcW w:type="dxa" w:w="103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0,2051</w:t>
            </w:r>
          </w:p>
        </w:tc>
        <w:tc>
          <w:tcPr>
            <w:tcW w:type="dxa" w:w="95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0,1594</w:t>
            </w:r>
          </w:p>
        </w:tc>
        <w:tc>
          <w:tcPr>
            <w:tcW w:type="dxa" w:w="112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1.502</w:t>
            </w:r>
          </w:p>
        </w:tc>
        <w:tc>
          <w:tcPr>
            <w:tcW w:type="dxa" w:w="360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Continúa siendo la principal limitación del modelo.</w:t>
            </w:r>
          </w:p>
        </w:tc>
      </w:tr>
    </w:tbl>
    <w:p>
      <w:pPr>
        <w:spacing w:after="40"/>
      </w:pPr>
    </w:p>
    <w:p>
      <w:pPr>
        <w:keepNext/>
        <w:spacing w:before="40" w:after="20"/>
        <w:jc w:val="center"/>
      </w:pPr>
      <w:r>
        <w:drawing>
          <wp:inline xmlns:a="http://schemas.openxmlformats.org/drawingml/2006/main" xmlns:pic="http://schemas.openxmlformats.org/drawingml/2006/picture">
            <wp:extent cx="4251960" cy="3522032"/>
            <wp:docPr id="8" name="Picture 8" descr="Matriz de confusión normalizada para HERIDO, ILESO y MUERTO en la prueba temporal."/>
            <wp:cNvGraphicFramePr>
              <a:graphicFrameLocks noChangeAspect="1"/>
            </wp:cNvGraphicFramePr>
            <a:graphic>
              <a:graphicData uri="http://schemas.openxmlformats.org/drawingml/2006/picture">
                <pic:pic>
                  <pic:nvPicPr>
                    <pic:cNvPr id="0" name="cell_157_output_01.png"/>
                    <pic:cNvPicPr/>
                  </pic:nvPicPr>
                  <pic:blipFill>
                    <a:blip r:embed="rId17"/>
                    <a:stretch>
                      <a:fillRect/>
                    </a:stretch>
                  </pic:blipFill>
                  <pic:spPr>
                    <a:xfrm>
                      <a:off x="0" y="0"/>
                      <a:ext cx="4251960" cy="3522032"/>
                    </a:xfrm>
                    <a:prstGeom prst="rect"/>
                  </pic:spPr>
                </pic:pic>
              </a:graphicData>
            </a:graphic>
          </wp:inline>
        </w:drawing>
      </w:r>
    </w:p>
    <w:p>
      <w:pPr>
        <w:pStyle w:val="Caption"/>
        <w:keepNext w:val="0"/>
        <w:jc w:val="center"/>
      </w:pPr>
      <w:r>
        <w:rPr>
          <w:rFonts w:ascii="Arial" w:hAnsi="Arial" w:eastAsia="Arial" w:cs="Arial"/>
          <w:i/>
          <w:color w:val="454C5B"/>
          <w:sz w:val="18"/>
          <w:lang w:val="es-CO" w:eastAsia="es-CO"/>
        </w:rPr>
        <w:t>Figura 8. Matriz de confusión normalizada del modelo de estado.</w:t>
      </w:r>
    </w:p>
    <w:p>
      <w:pPr>
        <w:keepNext w:val="0"/>
        <w:spacing w:after="120" w:line="276" w:lineRule="auto"/>
        <w:jc w:val="both"/>
      </w:pPr>
      <w:r>
        <w:rPr>
          <w:rFonts w:ascii="Arial" w:hAnsi="Arial" w:eastAsia="Arial" w:cs="Arial"/>
          <w:color w:val="172033"/>
          <w:sz w:val="22"/>
          <w:lang w:val="es-CO" w:eastAsia="es-CO"/>
        </w:rPr>
        <w:t>La matriz muestra que cerca de 79 % de HERIDO e ILESO se clasifica correctamente. Para MUERTO, el reconocimiento es cercano a 21 % y la mayoría de los casos se clasifica como HERIDO. El modelo presenta una señal estable entre 2024 y 2026, pero no debe utilizarse para decisiones sensibles sobre fallecimientos sin mejorar la clase minoritaria y validar umbrales específicos.</w:t>
      </w:r>
    </w:p>
    <w:p>
      <w:pPr>
        <w:pStyle w:val="Heading2"/>
        <w:jc w:val="left"/>
      </w:pPr>
      <w:r>
        <w:rPr>
          <w:lang w:val="es-CO" w:eastAsia="es-CO"/>
        </w:rPr>
        <w:t>5.5. Implementación disponible y alcance</w:t>
      </w:r>
    </w:p>
    <w:p>
      <w:pPr>
        <w:keepNext w:val="0"/>
        <w:spacing w:after="120" w:line="276" w:lineRule="auto"/>
        <w:jc w:val="both"/>
      </w:pPr>
      <w:r>
        <w:rPr>
          <w:rFonts w:ascii="Arial" w:hAnsi="Arial" w:eastAsia="Arial" w:cs="Arial"/>
          <w:color w:val="172033"/>
          <w:sz w:val="22"/>
          <w:lang w:val="es-CO" w:eastAsia="es-CO"/>
        </w:rPr>
        <w:t>El repositorio contiene modelo_estado_actor_xgboost.joblib, metadata_estado_actor.joblib y centroides_zonas.csv. Los metadatos confirman el escenario OPERATIVO_SIN_CLIMA y las 16 columnas requeridas por el pipeline. Sin embargo, el formulario definido en la primera entrega solicita origen, destino, fecha y hora, mientras este modelo también requiere edad, género, clase y servicio del vehículo. Por esta razón, el componente se conservará como resultado complementario hasta que se defina si esas entradas hacen parte del producto y cómo se comunicarán al usuario.</w:t>
      </w:r>
    </w:p>
    <w:p>
      <w:pPr>
        <w:pStyle w:val="Heading1"/>
        <w:jc w:val="left"/>
      </w:pPr>
      <w:r>
        <w:rPr>
          <w:lang w:val="es-CO" w:eastAsia="es-CO"/>
        </w:rPr>
        <w:t>6. Modelo de clase de accidente</w:t>
      </w:r>
    </w:p>
    <w:p>
      <w:pPr>
        <w:pStyle w:val="Heading2"/>
        <w:jc w:val="left"/>
      </w:pPr>
      <w:r>
        <w:rPr>
          <w:lang w:val="es-CO" w:eastAsia="es-CO"/>
        </w:rPr>
        <w:t>6.1. Objetivo y variable de respuesta</w:t>
      </w:r>
    </w:p>
    <w:p>
      <w:pPr>
        <w:keepNext w:val="0"/>
        <w:spacing w:after="120" w:line="276" w:lineRule="auto"/>
        <w:jc w:val="both"/>
      </w:pPr>
      <w:r>
        <w:rPr>
          <w:rFonts w:ascii="Arial" w:hAnsi="Arial" w:eastAsia="Arial" w:cs="Arial"/>
          <w:color w:val="172033"/>
          <w:sz w:val="22"/>
          <w:lang w:val="es-CO" w:eastAsia="es-CO"/>
        </w:rPr>
        <w:t>El modelo de clase responde a una pregunta condicionada: dado que un accidente ya ocurrió, estima si corresponde a ATROPELLO, CHOQUE u OTROS. Primero se conserva una fila por ACCIDENTE_ID y se retiran 278 registros sin información. El conjunto final contiene 895.068 accidentes: 742.846 choques, 105.206 atropellos y 47.016 eventos agrupados en otros.</w:t>
      </w:r>
    </w:p>
    <w:p>
      <w:pPr>
        <w:keepNext/>
        <w:spacing w:after="100" w:line="276" w:lineRule="auto"/>
        <w:jc w:val="both"/>
      </w:pPr>
      <w:r>
        <w:rPr>
          <w:rFonts w:ascii="Arial" w:hAnsi="Arial" w:eastAsia="Arial" w:cs="Arial"/>
          <w:color w:val="172033"/>
          <w:sz w:val="22"/>
          <w:lang w:val="es-CO" w:eastAsia="es-CO"/>
        </w:rPr>
        <w:t>La distribución final de la variable objetivo es la siguiente:</w:t>
      </w:r>
    </w:p>
    <w:tbl>
      <w:tblPr>
        <w:tblW w:type="auto" w:w="0"/>
        <w:jc w:val="center"/>
        <w:tblLayout w:type="fixed"/>
        <w:tblLook w:firstColumn="1" w:firstRow="1" w:lastColumn="0" w:lastRow="0" w:noHBand="0" w:noVBand="1" w:val="04A0"/>
      </w:tblPr>
      <w:tblGrid>
        <w:gridCol w:w="3043"/>
        <w:gridCol w:w="3043"/>
        <w:gridCol w:w="3043"/>
      </w:tblGrid>
      <w:tr>
        <w:trPr>
          <w:tblHeader w:val="true"/>
          <w:cantSplit/>
        </w:trPr>
        <w:tc>
          <w:tcPr>
            <w:tcW w:type="dxa" w:w="3024"/>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Clase</w:t>
            </w:r>
          </w:p>
        </w:tc>
        <w:tc>
          <w:tcPr>
            <w:tcW w:type="dxa" w:w="3024"/>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Registros</w:t>
            </w:r>
          </w:p>
        </w:tc>
        <w:tc>
          <w:tcPr>
            <w:tcW w:type="dxa" w:w="3082"/>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Participación</w:t>
            </w:r>
          </w:p>
        </w:tc>
      </w:tr>
      <w:tr>
        <w:trPr>
          <w:cantSplit/>
        </w:trPr>
        <w:tc>
          <w:tcPr>
            <w:tcW w:type="dxa" w:w="302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9"/>
                <w:lang w:val="es-CO" w:eastAsia="es-CO"/>
              </w:rPr>
              <w:t>ATROPELLO</w:t>
            </w:r>
          </w:p>
        </w:tc>
        <w:tc>
          <w:tcPr>
            <w:tcW w:type="dxa" w:w="302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9"/>
                <w:lang w:val="es-CO" w:eastAsia="es-CO"/>
              </w:rPr>
              <w:t>105.206</w:t>
            </w:r>
          </w:p>
        </w:tc>
        <w:tc>
          <w:tcPr>
            <w:tcW w:type="dxa" w:w="308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9"/>
                <w:lang w:val="es-CO" w:eastAsia="es-CO"/>
              </w:rPr>
              <w:t>11,7540 %</w:t>
            </w:r>
          </w:p>
        </w:tc>
      </w:tr>
      <w:tr>
        <w:trPr>
          <w:cantSplit/>
        </w:trPr>
        <w:tc>
          <w:tcPr>
            <w:tcW w:type="dxa" w:w="3024"/>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9"/>
                <w:lang w:val="es-CO" w:eastAsia="es-CO"/>
              </w:rPr>
              <w:t>CHOQUE</w:t>
            </w:r>
          </w:p>
        </w:tc>
        <w:tc>
          <w:tcPr>
            <w:tcW w:type="dxa" w:w="3024"/>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9"/>
                <w:lang w:val="es-CO" w:eastAsia="es-CO"/>
              </w:rPr>
              <w:t>742.846</w:t>
            </w:r>
          </w:p>
        </w:tc>
        <w:tc>
          <w:tcPr>
            <w:tcW w:type="dxa" w:w="308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9"/>
                <w:lang w:val="es-CO" w:eastAsia="es-CO"/>
              </w:rPr>
              <w:t>82,9932 %</w:t>
            </w:r>
          </w:p>
        </w:tc>
      </w:tr>
      <w:tr>
        <w:trPr>
          <w:cantSplit/>
        </w:trPr>
        <w:tc>
          <w:tcPr>
            <w:tcW w:type="dxa" w:w="302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9"/>
                <w:lang w:val="es-CO" w:eastAsia="es-CO"/>
              </w:rPr>
              <w:t>OTROS</w:t>
            </w:r>
          </w:p>
        </w:tc>
        <w:tc>
          <w:tcPr>
            <w:tcW w:type="dxa" w:w="302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9"/>
                <w:lang w:val="es-CO" w:eastAsia="es-CO"/>
              </w:rPr>
              <w:t>47.016</w:t>
            </w:r>
          </w:p>
        </w:tc>
        <w:tc>
          <w:tcPr>
            <w:tcW w:type="dxa" w:w="308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9"/>
                <w:lang w:val="es-CO" w:eastAsia="es-CO"/>
              </w:rPr>
              <w:t>5,2528 %</w:t>
            </w:r>
          </w:p>
        </w:tc>
      </w:tr>
    </w:tbl>
    <w:p>
      <w:pPr>
        <w:spacing w:after="40"/>
      </w:pPr>
    </w:p>
    <w:p>
      <w:pPr>
        <w:pStyle w:val="Heading2"/>
        <w:jc w:val="left"/>
      </w:pPr>
      <w:r>
        <w:rPr>
          <w:lang w:val="es-CO" w:eastAsia="es-CO"/>
        </w:rPr>
        <w:t>6.2. Paso a paso del notebook</w:t>
      </w:r>
    </w:p>
    <w:p>
      <w:pPr>
        <w:spacing w:after="80" w:line="269" w:lineRule="auto"/>
        <w:ind w:left="461" w:hanging="346"/>
        <w:jc w:val="both"/>
      </w:pPr>
      <w:r>
        <w:rPr>
          <w:rFonts w:ascii="Arial" w:hAnsi="Arial" w:eastAsia="Arial" w:cs="Arial"/>
          <w:b/>
          <w:color w:val="172033"/>
          <w:sz w:val="22"/>
          <w:lang w:val="es-CO" w:eastAsia="es-CO"/>
        </w:rPr>
        <w:t xml:space="preserve">1. </w:t>
      </w:r>
      <w:r>
        <w:rPr>
          <w:rFonts w:ascii="Arial" w:hAnsi="Arial" w:eastAsia="Arial" w:cs="Arial"/>
          <w:b/>
          <w:color w:val="172033"/>
          <w:sz w:val="22"/>
          <w:lang w:val="es-CO" w:eastAsia="es-CO"/>
        </w:rPr>
        <w:t xml:space="preserve">Consolidación por accidente. </w:t>
      </w:r>
      <w:r>
        <w:rPr>
          <w:rFonts w:ascii="Arial" w:hAnsi="Arial" w:eastAsia="Arial" w:cs="Arial"/>
          <w:color w:val="172033"/>
          <w:sz w:val="22"/>
          <w:lang w:val="es-CO" w:eastAsia="es-CO"/>
        </w:rPr>
        <w:t>Se elimina la repetición generada por actores y vehículos y se agrupan las categorías minoritarias en OTROS.</w:t>
      </w:r>
    </w:p>
    <w:p>
      <w:pPr>
        <w:spacing w:after="80" w:line="269" w:lineRule="auto"/>
        <w:ind w:left="461" w:hanging="346"/>
        <w:jc w:val="both"/>
      </w:pPr>
      <w:r>
        <w:rPr>
          <w:rFonts w:ascii="Arial" w:hAnsi="Arial" w:eastAsia="Arial" w:cs="Arial"/>
          <w:b/>
          <w:color w:val="172033"/>
          <w:sz w:val="22"/>
          <w:lang w:val="es-CO" w:eastAsia="es-CO"/>
        </w:rPr>
        <w:t xml:space="preserve">2. </w:t>
      </w:r>
      <w:r>
        <w:rPr>
          <w:rFonts w:ascii="Arial" w:hAnsi="Arial" w:eastAsia="Arial" w:cs="Arial"/>
          <w:b/>
          <w:color w:val="172033"/>
          <w:sz w:val="22"/>
          <w:lang w:val="es-CO" w:eastAsia="es-CO"/>
        </w:rPr>
        <w:t xml:space="preserve">Revisión descriptiva. </w:t>
      </w:r>
      <w:r>
        <w:rPr>
          <w:rFonts w:ascii="Arial" w:hAnsi="Arial" w:eastAsia="Arial" w:cs="Arial"/>
          <w:color w:val="172033"/>
          <w:sz w:val="22"/>
          <w:lang w:val="es-CO" w:eastAsia="es-CO"/>
        </w:rPr>
        <w:t>Se analizan desbalance, faltantes, estabilidad anual, variables temporales, zonas y relaciones con el clima.</w:t>
      </w:r>
    </w:p>
    <w:p>
      <w:pPr>
        <w:spacing w:after="80" w:line="269" w:lineRule="auto"/>
        <w:ind w:left="461" w:hanging="346"/>
        <w:jc w:val="both"/>
      </w:pPr>
      <w:r>
        <w:rPr>
          <w:rFonts w:ascii="Arial" w:hAnsi="Arial" w:eastAsia="Arial" w:cs="Arial"/>
          <w:b/>
          <w:color w:val="172033"/>
          <w:sz w:val="22"/>
          <w:lang w:val="es-CO" w:eastAsia="es-CO"/>
        </w:rPr>
        <w:t xml:space="preserve">3. </w:t>
      </w:r>
      <w:r>
        <w:rPr>
          <w:rFonts w:ascii="Arial" w:hAnsi="Arial" w:eastAsia="Arial" w:cs="Arial"/>
          <w:b/>
          <w:color w:val="172033"/>
          <w:sz w:val="22"/>
          <w:lang w:val="es-CO" w:eastAsia="es-CO"/>
        </w:rPr>
        <w:t xml:space="preserve">Escenarios comparables. </w:t>
      </w:r>
      <w:r>
        <w:rPr>
          <w:rFonts w:ascii="Arial" w:hAnsi="Arial" w:eastAsia="Arial" w:cs="Arial"/>
          <w:color w:val="172033"/>
          <w:sz w:val="22"/>
          <w:lang w:val="es-CO" w:eastAsia="es-CO"/>
        </w:rPr>
        <w:t>Se construyen conjuntos completos y operativos, con y sin clima, manteniendo las mismas observaciones para las cuatro familias de modelos.</w:t>
      </w:r>
    </w:p>
    <w:p>
      <w:pPr>
        <w:spacing w:after="80" w:line="269" w:lineRule="auto"/>
        <w:ind w:left="461" w:hanging="346"/>
        <w:jc w:val="both"/>
      </w:pPr>
      <w:r>
        <w:rPr>
          <w:rFonts w:ascii="Arial" w:hAnsi="Arial" w:eastAsia="Arial" w:cs="Arial"/>
          <w:b/>
          <w:color w:val="172033"/>
          <w:sz w:val="22"/>
          <w:lang w:val="es-CO" w:eastAsia="es-CO"/>
        </w:rPr>
        <w:t xml:space="preserve">4. </w:t>
      </w:r>
      <w:r>
        <w:rPr>
          <w:rFonts w:ascii="Arial" w:hAnsi="Arial" w:eastAsia="Arial" w:cs="Arial"/>
          <w:b/>
          <w:color w:val="172033"/>
          <w:sz w:val="22"/>
          <w:lang w:val="es-CO" w:eastAsia="es-CO"/>
        </w:rPr>
        <w:t xml:space="preserve">Partición temporal. </w:t>
      </w:r>
      <w:r>
        <w:rPr>
          <w:rFonts w:ascii="Arial" w:hAnsi="Arial" w:eastAsia="Arial" w:cs="Arial"/>
          <w:color w:val="172033"/>
          <w:sz w:val="22"/>
          <w:lang w:val="es-CO" w:eastAsia="es-CO"/>
        </w:rPr>
        <w:t>Se utiliza 2007–2020 para entrenamiento, 2021–2023 para validación y 2024–2026 para la prueba final. ANIO no se incluye como predictor.</w:t>
      </w:r>
    </w:p>
    <w:p>
      <w:pPr>
        <w:spacing w:after="80" w:line="269" w:lineRule="auto"/>
        <w:ind w:left="461" w:hanging="346"/>
        <w:jc w:val="both"/>
      </w:pPr>
      <w:r>
        <w:rPr>
          <w:rFonts w:ascii="Arial" w:hAnsi="Arial" w:eastAsia="Arial" w:cs="Arial"/>
          <w:b/>
          <w:color w:val="172033"/>
          <w:sz w:val="22"/>
          <w:lang w:val="es-CO" w:eastAsia="es-CO"/>
        </w:rPr>
        <w:t xml:space="preserve">5. </w:t>
      </w:r>
      <w:r>
        <w:rPr>
          <w:rFonts w:ascii="Arial" w:hAnsi="Arial" w:eastAsia="Arial" w:cs="Arial"/>
          <w:b/>
          <w:color w:val="172033"/>
          <w:sz w:val="22"/>
          <w:lang w:val="es-CO" w:eastAsia="es-CO"/>
        </w:rPr>
        <w:t xml:space="preserve">Selección y estabilidad. </w:t>
      </w:r>
      <w:r>
        <w:rPr>
          <w:rFonts w:ascii="Arial" w:hAnsi="Arial" w:eastAsia="Arial" w:cs="Arial"/>
          <w:color w:val="172033"/>
          <w:sz w:val="22"/>
          <w:lang w:val="es-CO" w:eastAsia="es-CO"/>
        </w:rPr>
        <w:t>Se ajustan hiperparámetros, se compara contra una línea base, se aplica bootstrap y se ejecutan dos ventanas de backtesting.</w:t>
      </w:r>
    </w:p>
    <w:p>
      <w:pPr>
        <w:spacing w:after="80" w:line="269" w:lineRule="auto"/>
        <w:ind w:left="461" w:hanging="346"/>
        <w:jc w:val="both"/>
      </w:pPr>
      <w:r>
        <w:rPr>
          <w:rFonts w:ascii="Arial" w:hAnsi="Arial" w:eastAsia="Arial" w:cs="Arial"/>
          <w:b/>
          <w:color w:val="172033"/>
          <w:sz w:val="22"/>
          <w:lang w:val="es-CO" w:eastAsia="es-CO"/>
        </w:rPr>
        <w:t xml:space="preserve">6. </w:t>
      </w:r>
      <w:r>
        <w:rPr>
          <w:rFonts w:ascii="Arial" w:hAnsi="Arial" w:eastAsia="Arial" w:cs="Arial"/>
          <w:b/>
          <w:color w:val="172033"/>
          <w:sz w:val="22"/>
          <w:lang w:val="es-CO" w:eastAsia="es-CO"/>
        </w:rPr>
        <w:t xml:space="preserve">Diagnóstico final. </w:t>
      </w:r>
      <w:r>
        <w:rPr>
          <w:rFonts w:ascii="Arial" w:hAnsi="Arial" w:eastAsia="Arial" w:cs="Arial"/>
          <w:color w:val="172033"/>
          <w:sz w:val="22"/>
          <w:lang w:val="es-CO" w:eastAsia="es-CO"/>
        </w:rPr>
        <w:t>Se revisan intervalos de confianza, matriz de confusión, curvas por clase, estabilidad anual e importancia por permutación.</w:t>
      </w:r>
    </w:p>
    <w:p>
      <w:pPr>
        <w:pStyle w:val="Heading2"/>
        <w:jc w:val="left"/>
      </w:pPr>
      <w:r>
        <w:rPr>
          <w:lang w:val="es-CO" w:eastAsia="es-CO"/>
        </w:rPr>
        <w:t>6.3. Resultados de validación</w:t>
      </w:r>
    </w:p>
    <w:p>
      <w:pPr>
        <w:keepNext w:val="0"/>
        <w:spacing w:after="120" w:line="276" w:lineRule="auto"/>
        <w:jc w:val="both"/>
      </w:pPr>
      <w:r>
        <w:rPr>
          <w:rFonts w:ascii="Arial" w:hAnsi="Arial" w:eastAsia="Arial" w:cs="Arial"/>
          <w:color w:val="172033"/>
          <w:sz w:val="22"/>
          <w:lang w:val="es-CO" w:eastAsia="es-CO"/>
        </w:rPr>
        <w:t>XGBoost obtiene el mejor F1 macro entre las familias evaluadas. La configuración utiliza 240 árboles, profundidad máxima 5, learning rate de 0,08, min_child_weight de 10 y potencia de peso de 0,75. El escenario completo funciona como referencia experimental porque incluye variables que no estarían disponibles durante la consulta; el escenario operativo representa el posible uso del producto.</w:t>
      </w:r>
    </w:p>
    <w:p>
      <w:pPr>
        <w:keepNext/>
        <w:spacing w:after="100" w:line="276" w:lineRule="auto"/>
        <w:jc w:val="both"/>
      </w:pPr>
      <w:r>
        <w:rPr>
          <w:rFonts w:ascii="Arial" w:hAnsi="Arial" w:eastAsia="Arial" w:cs="Arial"/>
          <w:color w:val="172033"/>
          <w:sz w:val="22"/>
          <w:lang w:val="es-CO" w:eastAsia="es-CO"/>
        </w:rPr>
        <w:t>Los resultados de XGBoost en validación muestran el efecto de las variables disponibles y del clima:</w:t>
      </w:r>
    </w:p>
    <w:tbl>
      <w:tblPr>
        <w:tblW w:type="auto" w:w="0"/>
        <w:jc w:val="center"/>
        <w:tblLayout w:type="fixed"/>
        <w:tblLook w:firstColumn="1" w:firstRow="1" w:lastColumn="0" w:lastRow="0" w:noHBand="0" w:noVBand="1" w:val="04A0"/>
      </w:tblPr>
      <w:tblGrid>
        <w:gridCol w:w="1826"/>
        <w:gridCol w:w="1826"/>
        <w:gridCol w:w="1826"/>
        <w:gridCol w:w="1826"/>
        <w:gridCol w:w="1826"/>
      </w:tblGrid>
      <w:tr>
        <w:trPr>
          <w:tblHeader w:val="true"/>
          <w:cantSplit/>
        </w:trPr>
        <w:tc>
          <w:tcPr>
            <w:tcW w:type="dxa" w:w="2189"/>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Escenario</w:t>
            </w:r>
          </w:p>
        </w:tc>
        <w:tc>
          <w:tcPr>
            <w:tcW w:type="dxa" w:w="1267"/>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F1 macro</w:t>
            </w:r>
          </w:p>
        </w:tc>
        <w:tc>
          <w:tcPr>
            <w:tcW w:type="dxa" w:w="1555"/>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Balanced accuracy</w:t>
            </w:r>
          </w:p>
        </w:tc>
        <w:tc>
          <w:tcPr>
            <w:tcW w:type="dxa" w:w="1181"/>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Log loss</w:t>
            </w:r>
          </w:p>
        </w:tc>
        <w:tc>
          <w:tcPr>
            <w:tcW w:type="dxa" w:w="2938"/>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Lectura</w:t>
            </w:r>
          </w:p>
        </w:tc>
      </w:tr>
      <w:tr>
        <w:trPr>
          <w:cantSplit/>
        </w:trPr>
        <w:tc>
          <w:tcPr>
            <w:tcW w:type="dxa" w:w="2189"/>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6"/>
                <w:lang w:val="es-CO" w:eastAsia="es-CO"/>
              </w:rPr>
              <w:t>Completo sin clima</w:t>
            </w:r>
          </w:p>
        </w:tc>
        <w:tc>
          <w:tcPr>
            <w:tcW w:type="dxa" w:w="126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0,3988</w:t>
            </w:r>
          </w:p>
        </w:tc>
        <w:tc>
          <w:tcPr>
            <w:tcW w:type="dxa" w:w="1555"/>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0,4233</w:t>
            </w:r>
          </w:p>
        </w:tc>
        <w:tc>
          <w:tcPr>
            <w:tcW w:type="dxa" w:w="118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0,8410</w:t>
            </w:r>
          </w:p>
        </w:tc>
        <w:tc>
          <w:tcPr>
            <w:tcW w:type="dxa" w:w="293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Mejor balanced accuracy entre los escenarios completos de XGBoost.</w:t>
            </w:r>
          </w:p>
        </w:tc>
      </w:tr>
      <w:tr>
        <w:trPr>
          <w:cantSplit/>
        </w:trPr>
        <w:tc>
          <w:tcPr>
            <w:tcW w:type="dxa" w:w="2189"/>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6"/>
                <w:lang w:val="es-CO" w:eastAsia="es-CO"/>
              </w:rPr>
              <w:t>Completo con clima</w:t>
            </w:r>
          </w:p>
        </w:tc>
        <w:tc>
          <w:tcPr>
            <w:tcW w:type="dxa" w:w="126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0,4026</w:t>
            </w:r>
          </w:p>
        </w:tc>
        <w:tc>
          <w:tcPr>
            <w:tcW w:type="dxa" w:w="1555"/>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0,4136</w:t>
            </w:r>
          </w:p>
        </w:tc>
        <w:tc>
          <w:tcPr>
            <w:tcW w:type="dxa" w:w="118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0,8063</w:t>
            </w:r>
          </w:p>
        </w:tc>
        <w:tc>
          <w:tcPr>
            <w:tcW w:type="dxa" w:w="293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El F1 mejora menos de 1 %, pero disminuye la balanced accuracy.</w:t>
            </w:r>
          </w:p>
        </w:tc>
      </w:tr>
      <w:tr>
        <w:trPr>
          <w:cantSplit/>
        </w:trPr>
        <w:tc>
          <w:tcPr>
            <w:tcW w:type="dxa" w:w="2189"/>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6"/>
                <w:lang w:val="es-CO" w:eastAsia="es-CO"/>
              </w:rPr>
              <w:t>Operativo sin clima</w:t>
            </w:r>
          </w:p>
        </w:tc>
        <w:tc>
          <w:tcPr>
            <w:tcW w:type="dxa" w:w="126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0,3742</w:t>
            </w:r>
          </w:p>
        </w:tc>
        <w:tc>
          <w:tcPr>
            <w:tcW w:type="dxa" w:w="1555"/>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0,4055</w:t>
            </w:r>
          </w:p>
        </w:tc>
        <w:tc>
          <w:tcPr>
            <w:tcW w:type="dxa" w:w="118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0,8416</w:t>
            </w:r>
          </w:p>
        </w:tc>
        <w:tc>
          <w:tcPr>
            <w:tcW w:type="dxa" w:w="293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Es el escenario coherente con la regla de exclusión del clima.</w:t>
            </w:r>
          </w:p>
        </w:tc>
      </w:tr>
      <w:tr>
        <w:trPr>
          <w:cantSplit/>
        </w:trPr>
        <w:tc>
          <w:tcPr>
            <w:tcW w:type="dxa" w:w="2189"/>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6"/>
                <w:lang w:val="es-CO" w:eastAsia="es-CO"/>
              </w:rPr>
              <w:t>Operativo con clima</w:t>
            </w:r>
          </w:p>
        </w:tc>
        <w:tc>
          <w:tcPr>
            <w:tcW w:type="dxa" w:w="126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0,3767</w:t>
            </w:r>
          </w:p>
        </w:tc>
        <w:tc>
          <w:tcPr>
            <w:tcW w:type="dxa" w:w="1555"/>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0,3944</w:t>
            </w:r>
          </w:p>
        </w:tc>
        <w:tc>
          <w:tcPr>
            <w:tcW w:type="dxa" w:w="118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0,7929</w:t>
            </w:r>
          </w:p>
        </w:tc>
        <w:tc>
          <w:tcPr>
            <w:tcW w:type="dxa" w:w="293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El F1 mejora 0,65 % y la balanced accuracy disminuye.</w:t>
            </w:r>
          </w:p>
        </w:tc>
      </w:tr>
    </w:tbl>
    <w:p>
      <w:pPr>
        <w:spacing w:after="40"/>
      </w:pPr>
    </w:p>
    <w:p>
      <w:pPr>
        <w:keepNext/>
        <w:spacing w:before="40" w:after="20"/>
        <w:jc w:val="center"/>
      </w:pPr>
      <w:r>
        <w:drawing>
          <wp:inline xmlns:a="http://schemas.openxmlformats.org/drawingml/2006/main" xmlns:pic="http://schemas.openxmlformats.org/drawingml/2006/picture">
            <wp:extent cx="5760720" cy="3599997"/>
            <wp:docPr id="9" name="Picture 9" descr="Gráfico que compara F1 macro y balanced accuracy de cuatro modelos para escenarios completos y operativos, con y sin clima."/>
            <wp:cNvGraphicFramePr>
              <a:graphicFrameLocks noChangeAspect="1"/>
            </wp:cNvGraphicFramePr>
            <a:graphic>
              <a:graphicData uri="http://schemas.openxmlformats.org/drawingml/2006/picture">
                <pic:pic>
                  <pic:nvPicPr>
                    <pic:cNvPr id="0" name="cell_131_output_01.png"/>
                    <pic:cNvPicPr/>
                  </pic:nvPicPr>
                  <pic:blipFill>
                    <a:blip r:embed="rId18"/>
                    <a:stretch>
                      <a:fillRect/>
                    </a:stretch>
                  </pic:blipFill>
                  <pic:spPr>
                    <a:xfrm>
                      <a:off x="0" y="0"/>
                      <a:ext cx="5760720" cy="3599997"/>
                    </a:xfrm>
                    <a:prstGeom prst="rect"/>
                  </pic:spPr>
                </pic:pic>
              </a:graphicData>
            </a:graphic>
          </wp:inline>
        </w:drawing>
      </w:r>
    </w:p>
    <w:p>
      <w:pPr>
        <w:pStyle w:val="Caption"/>
        <w:keepNext w:val="0"/>
        <w:jc w:val="center"/>
      </w:pPr>
      <w:r>
        <w:rPr>
          <w:rFonts w:ascii="Arial" w:hAnsi="Arial" w:eastAsia="Arial" w:cs="Arial"/>
          <w:i/>
          <w:color w:val="454C5B"/>
          <w:sz w:val="18"/>
          <w:lang w:val="es-CO" w:eastAsia="es-CO"/>
        </w:rPr>
        <w:t>Figura 9. Comparación de los modelos para la clase de accidente.</w:t>
      </w:r>
    </w:p>
    <w:p>
      <w:pPr>
        <w:pStyle w:val="Heading2"/>
        <w:jc w:val="left"/>
      </w:pPr>
      <w:r>
        <w:rPr>
          <w:lang w:val="es-CO" w:eastAsia="es-CO"/>
        </w:rPr>
        <w:t>6.4. Aporte del clima y prueba temporal</w:t>
      </w:r>
    </w:p>
    <w:p>
      <w:pPr>
        <w:keepNext w:val="0"/>
        <w:spacing w:after="120" w:line="276" w:lineRule="auto"/>
        <w:jc w:val="both"/>
      </w:pPr>
      <w:r>
        <w:rPr>
          <w:rFonts w:ascii="Arial" w:hAnsi="Arial" w:eastAsia="Arial" w:cs="Arial"/>
          <w:color w:val="172033"/>
          <w:sz w:val="22"/>
          <w:lang w:val="es-CO" w:eastAsia="es-CO"/>
        </w:rPr>
        <w:t>El bootstrap pareado estima un aumento de 0,0024 en F1 macro al incorporar clima; el intervalo de confianza del 95 % va de -0,0004 a 0,0053 e incluye cero. Al mismo tiempo, la balanced accuracy disminuye 0,0111 de forma consistente. Por tanto, el clima no cumple el umbral de mejora relativa de 5 % y los resultados favorecen OPERATIVO_SIN_CLIMA para la continuación del experimento.</w:t>
      </w:r>
    </w:p>
    <w:p>
      <w:pPr>
        <w:keepNext w:val="0"/>
        <w:spacing w:after="120" w:line="276" w:lineRule="auto"/>
        <w:jc w:val="both"/>
      </w:pPr>
      <w:r>
        <w:rPr>
          <w:rFonts w:ascii="Arial" w:hAnsi="Arial" w:eastAsia="Arial" w:cs="Arial"/>
          <w:color w:val="172033"/>
          <w:sz w:val="22"/>
          <w:lang w:val="es-CO" w:eastAsia="es-CO"/>
        </w:rPr>
        <w:t>La celda automática que selecciona el mayor F1 conserva OPERATIVO_CON_CLIMA y ese escenario se utiliza en el reajuste final. Sobre 2024–2026 obtiene accuracy 0,6363, balanced accuracy 0,3871, F1 macro 0,3735, PR-AUC macro 0,3800, ROC-AUC macro 0,5719 y log loss 0,9059. Antes de cerrar el modelo debe actualizarse la variable de escenario después del bootstrap y repetirse la prueba con OPERATIVO_SIN_CLIMA, manteniendo la misma configuración y el mismo periodo de evaluación.</w:t>
      </w:r>
    </w:p>
    <w:p>
      <w:pPr>
        <w:keepNext/>
        <w:spacing w:after="100" w:line="276" w:lineRule="auto"/>
        <w:jc w:val="both"/>
      </w:pPr>
      <w:r>
        <w:rPr>
          <w:rFonts w:ascii="Arial" w:hAnsi="Arial" w:eastAsia="Arial" w:cs="Arial"/>
          <w:color w:val="172033"/>
          <w:sz w:val="22"/>
          <w:lang w:val="es-CO" w:eastAsia="es-CO"/>
        </w:rPr>
        <w:t>El diagnóstico por clase de la prueba ejecutada presenta los siguientes resultados:</w:t>
      </w:r>
    </w:p>
    <w:tbl>
      <w:tblPr>
        <w:tblW w:type="auto" w:w="0"/>
        <w:jc w:val="center"/>
        <w:tblLayout w:type="fixed"/>
        <w:tblLook w:firstColumn="1" w:firstRow="1" w:lastColumn="0" w:lastRow="0" w:noHBand="0" w:noVBand="1" w:val="04A0"/>
      </w:tblPr>
      <w:tblGrid>
        <w:gridCol w:w="1826"/>
        <w:gridCol w:w="1826"/>
        <w:gridCol w:w="1826"/>
        <w:gridCol w:w="1826"/>
        <w:gridCol w:w="1826"/>
      </w:tblGrid>
      <w:tr>
        <w:trPr>
          <w:tblHeader w:val="true"/>
          <w:cantSplit/>
        </w:trPr>
        <w:tc>
          <w:tcPr>
            <w:tcW w:type="dxa" w:w="2045"/>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Clase</w:t>
            </w:r>
          </w:p>
        </w:tc>
        <w:tc>
          <w:tcPr>
            <w:tcW w:type="dxa" w:w="1728"/>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Precisión</w:t>
            </w:r>
          </w:p>
        </w:tc>
        <w:tc>
          <w:tcPr>
            <w:tcW w:type="dxa" w:w="1584"/>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Recall</w:t>
            </w:r>
          </w:p>
        </w:tc>
        <w:tc>
          <w:tcPr>
            <w:tcW w:type="dxa" w:w="1512"/>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F1</w:t>
            </w:r>
          </w:p>
        </w:tc>
        <w:tc>
          <w:tcPr>
            <w:tcW w:type="dxa" w:w="2261"/>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Soporte</w:t>
            </w:r>
          </w:p>
        </w:tc>
      </w:tr>
      <w:tr>
        <w:trPr>
          <w:cantSplit/>
        </w:trPr>
        <w:tc>
          <w:tcPr>
            <w:tcW w:type="dxa" w:w="2045"/>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ATROPELLO</w:t>
            </w:r>
          </w:p>
        </w:tc>
        <w:tc>
          <w:tcPr>
            <w:tcW w:type="dxa" w:w="172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0,3158</w:t>
            </w:r>
          </w:p>
        </w:tc>
        <w:tc>
          <w:tcPr>
            <w:tcW w:type="dxa" w:w="158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0,3535</w:t>
            </w:r>
          </w:p>
        </w:tc>
        <w:tc>
          <w:tcPr>
            <w:tcW w:type="dxa" w:w="151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0,3336</w:t>
            </w:r>
          </w:p>
        </w:tc>
        <w:tc>
          <w:tcPr>
            <w:tcW w:type="dxa" w:w="226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6.713</w:t>
            </w:r>
          </w:p>
        </w:tc>
      </w:tr>
      <w:tr>
        <w:trPr>
          <w:cantSplit/>
        </w:trPr>
        <w:tc>
          <w:tcPr>
            <w:tcW w:type="dxa" w:w="2045"/>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CHOQUE</w:t>
            </w:r>
          </w:p>
        </w:tc>
        <w:tc>
          <w:tcPr>
            <w:tcW w:type="dxa" w:w="172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0,7406</w:t>
            </w:r>
          </w:p>
        </w:tc>
        <w:tc>
          <w:tcPr>
            <w:tcW w:type="dxa" w:w="1584"/>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0,7976</w:t>
            </w:r>
          </w:p>
        </w:tc>
        <w:tc>
          <w:tcPr>
            <w:tcW w:type="dxa" w:w="151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0,7680</w:t>
            </w:r>
          </w:p>
        </w:tc>
        <w:tc>
          <w:tcPr>
            <w:tcW w:type="dxa" w:w="226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22.705</w:t>
            </w:r>
          </w:p>
        </w:tc>
      </w:tr>
      <w:tr>
        <w:trPr>
          <w:cantSplit/>
        </w:trPr>
        <w:tc>
          <w:tcPr>
            <w:tcW w:type="dxa" w:w="2045"/>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OTROS</w:t>
            </w:r>
          </w:p>
        </w:tc>
        <w:tc>
          <w:tcPr>
            <w:tcW w:type="dxa" w:w="172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0,1078</w:t>
            </w:r>
          </w:p>
        </w:tc>
        <w:tc>
          <w:tcPr>
            <w:tcW w:type="dxa" w:w="158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0,0103</w:t>
            </w:r>
          </w:p>
        </w:tc>
        <w:tc>
          <w:tcPr>
            <w:tcW w:type="dxa" w:w="151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0,0188</w:t>
            </w:r>
          </w:p>
        </w:tc>
        <w:tc>
          <w:tcPr>
            <w:tcW w:type="dxa" w:w="226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2.820</w:t>
            </w:r>
          </w:p>
        </w:tc>
      </w:tr>
    </w:tbl>
    <w:p>
      <w:pPr>
        <w:spacing w:after="40"/>
      </w:pPr>
    </w:p>
    <w:p>
      <w:pPr>
        <w:keepNext/>
        <w:spacing w:before="40" w:after="20"/>
        <w:jc w:val="center"/>
      </w:pPr>
      <w:r>
        <w:drawing>
          <wp:inline xmlns:a="http://schemas.openxmlformats.org/drawingml/2006/main" xmlns:pic="http://schemas.openxmlformats.org/drawingml/2006/picture">
            <wp:extent cx="4251960" cy="3513596"/>
            <wp:docPr id="10" name="Picture 10" descr="Matriz de confusión normalizada para ATROPELLO, CHOQUE y OTROS en la prueba temporal."/>
            <wp:cNvGraphicFramePr>
              <a:graphicFrameLocks noChangeAspect="1"/>
            </wp:cNvGraphicFramePr>
            <a:graphic>
              <a:graphicData uri="http://schemas.openxmlformats.org/drawingml/2006/picture">
                <pic:pic>
                  <pic:nvPicPr>
                    <pic:cNvPr id="0" name="cell_157_output_01.png"/>
                    <pic:cNvPicPr/>
                  </pic:nvPicPr>
                  <pic:blipFill>
                    <a:blip r:embed="rId19"/>
                    <a:stretch>
                      <a:fillRect/>
                    </a:stretch>
                  </pic:blipFill>
                  <pic:spPr>
                    <a:xfrm>
                      <a:off x="0" y="0"/>
                      <a:ext cx="4251960" cy="3513596"/>
                    </a:xfrm>
                    <a:prstGeom prst="rect"/>
                  </pic:spPr>
                </pic:pic>
              </a:graphicData>
            </a:graphic>
          </wp:inline>
        </w:drawing>
      </w:r>
    </w:p>
    <w:p>
      <w:pPr>
        <w:pStyle w:val="Caption"/>
        <w:keepNext w:val="0"/>
        <w:jc w:val="center"/>
      </w:pPr>
      <w:r>
        <w:rPr>
          <w:rFonts w:ascii="Arial" w:hAnsi="Arial" w:eastAsia="Arial" w:cs="Arial"/>
          <w:i/>
          <w:color w:val="454C5B"/>
          <w:sz w:val="18"/>
          <w:lang w:val="es-CO" w:eastAsia="es-CO"/>
        </w:rPr>
        <w:t>Figura 10. Matriz de confusión normalizada del modelo de clase de accidente.</w:t>
      </w:r>
    </w:p>
    <w:p>
      <w:pPr>
        <w:keepNext w:val="0"/>
        <w:spacing w:after="120" w:line="276" w:lineRule="auto"/>
        <w:jc w:val="both"/>
      </w:pPr>
      <w:r>
        <w:rPr>
          <w:rFonts w:ascii="Arial" w:hAnsi="Arial" w:eastAsia="Arial" w:cs="Arial"/>
          <w:color w:val="172033"/>
          <w:sz w:val="22"/>
          <w:lang w:val="es-CO" w:eastAsia="es-CO"/>
        </w:rPr>
        <w:t>La matriz confirma que CHOQUE se identifica correctamente en cerca de 80 % de los casos, mientras ATROPELLO alcanza aproximadamente 35 % y OTROS apenas 1 %. Aunque el modelo supera la línea base en F1 macro y mantiene estabilidad entre 2024 y 2026, el nivel de desempeño no es suficiente para integrarlo al MVP. El resultado se conserva como evidencia experimental y como punto de partida para ajustar las clases minoritarias, los pesos y los predictores espaciales.</w:t>
      </w:r>
    </w:p>
    <w:p>
      <w:pPr>
        <w:pStyle w:val="Heading1"/>
        <w:jc w:val="left"/>
      </w:pPr>
      <w:r>
        <w:rPr>
          <w:lang w:val="es-CO" w:eastAsia="es-CO"/>
        </w:rPr>
        <w:t>7. Próximos pasos</w:t>
      </w:r>
    </w:p>
    <w:p>
      <w:pPr>
        <w:pStyle w:val="Heading2"/>
        <w:jc w:val="left"/>
      </w:pPr>
      <w:r>
        <w:rPr>
          <w:lang w:val="es-CO" w:eastAsia="es-CO"/>
        </w:rPr>
        <w:t>7.1. Integración del prototipo</w:t>
      </w:r>
    </w:p>
    <w:p>
      <w:pPr>
        <w:keepNext w:val="0"/>
        <w:spacing w:after="120" w:line="276" w:lineRule="auto"/>
        <w:jc w:val="both"/>
      </w:pPr>
      <w:r>
        <w:rPr>
          <w:rFonts w:ascii="Arial" w:hAnsi="Arial" w:eastAsia="Arial" w:cs="Arial"/>
          <w:color w:val="172033"/>
          <w:sz w:val="22"/>
          <w:lang w:val="es-CO" w:eastAsia="es-CO"/>
        </w:rPr>
        <w:t>La integración debe mantener separados el indicador de criticidad y la información meteorológica. El modelo de ocurrencia utilizará la zona, el mes, el día y la hora estimada de paso por cada tramo para generar un score relativo. El pronóstico de Open-Meteo se mostrará junto con el recorrido, pero no modificará ese score mientras no se demuestre una mejora relativa mínima de 5 %. Los modelos de estado y clase se conservarán como componentes complementarios y no se combinarán con la criticidad central en esta fase.</w:t>
      </w:r>
    </w:p>
    <w:p>
      <w:pPr>
        <w:keepNext/>
        <w:spacing w:after="100" w:line="276" w:lineRule="auto"/>
        <w:jc w:val="both"/>
      </w:pPr>
      <w:r>
        <w:rPr>
          <w:rFonts w:ascii="Arial" w:hAnsi="Arial" w:eastAsia="Arial" w:cs="Arial"/>
          <w:color w:val="172033"/>
          <w:sz w:val="22"/>
          <w:lang w:val="es-CO" w:eastAsia="es-CO"/>
        </w:rPr>
        <w:t>El flujo previsto para la implementación del MVP es el siguiente:</w:t>
      </w:r>
    </w:p>
    <w:tbl>
      <w:tblPr>
        <w:tblW w:type="auto" w:w="0"/>
        <w:jc w:val="center"/>
        <w:tblLayout w:type="fixed"/>
        <w:tblLook w:firstColumn="1" w:firstRow="1" w:lastColumn="0" w:lastRow="0" w:noHBand="0" w:noVBand="1" w:val="04A0"/>
      </w:tblPr>
      <w:tblGrid>
        <w:gridCol w:w="2282"/>
        <w:gridCol w:w="2282"/>
        <w:gridCol w:w="2282"/>
        <w:gridCol w:w="2282"/>
      </w:tblGrid>
      <w:tr>
        <w:trPr>
          <w:tblHeader w:val="true"/>
          <w:cantSplit/>
        </w:trPr>
        <w:tc>
          <w:tcPr>
            <w:tcW w:type="dxa" w:w="1526"/>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Paso</w:t>
            </w:r>
          </w:p>
        </w:tc>
        <w:tc>
          <w:tcPr>
            <w:tcW w:type="dxa" w:w="2189"/>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Entrada</w:t>
            </w:r>
          </w:p>
        </w:tc>
        <w:tc>
          <w:tcPr>
            <w:tcW w:type="dxa" w:w="3110"/>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Proceso</w:t>
            </w:r>
          </w:p>
        </w:tc>
        <w:tc>
          <w:tcPr>
            <w:tcW w:type="dxa" w:w="2304"/>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Salida</w:t>
            </w:r>
          </w:p>
        </w:tc>
      </w:tr>
      <w:tr>
        <w:trPr>
          <w:cantSplit/>
        </w:trPr>
        <w:tc>
          <w:tcPr>
            <w:tcW w:type="dxa" w:w="152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7"/>
                <w:lang w:val="es-CO" w:eastAsia="es-CO"/>
              </w:rPr>
              <w:t>1. Captura</w:t>
            </w:r>
          </w:p>
        </w:tc>
        <w:tc>
          <w:tcPr>
            <w:tcW w:type="dxa" w:w="2189"/>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Origen, destino, fecha y hora.</w:t>
            </w:r>
          </w:p>
        </w:tc>
        <w:tc>
          <w:tcPr>
            <w:tcW w:type="dxa" w:w="311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Validar campos y alcance geográfico.</w:t>
            </w:r>
          </w:p>
        </w:tc>
        <w:tc>
          <w:tcPr>
            <w:tcW w:type="dxa" w:w="230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Consulta válida o mensaje de error.</w:t>
            </w:r>
          </w:p>
        </w:tc>
      </w:tr>
      <w:tr>
        <w:trPr>
          <w:cantSplit/>
        </w:trPr>
        <w:tc>
          <w:tcPr>
            <w:tcW w:type="dxa" w:w="152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7"/>
                <w:lang w:val="es-CO" w:eastAsia="es-CO"/>
              </w:rPr>
              <w:t>2. Ruta</w:t>
            </w:r>
          </w:p>
        </w:tc>
        <w:tc>
          <w:tcPr>
            <w:tcW w:type="dxa" w:w="2189"/>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Parámetros de la consulta.</w:t>
            </w:r>
          </w:p>
        </w:tc>
        <w:tc>
          <w:tcPr>
            <w:tcW w:type="dxa" w:w="311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Obtener recorrido, tramos y duración.</w:t>
            </w:r>
          </w:p>
        </w:tc>
        <w:tc>
          <w:tcPr>
            <w:tcW w:type="dxa" w:w="2304"/>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Geometría y hora estimada por tramo.</w:t>
            </w:r>
          </w:p>
        </w:tc>
      </w:tr>
      <w:tr>
        <w:trPr>
          <w:cantSplit/>
        </w:trPr>
        <w:tc>
          <w:tcPr>
            <w:tcW w:type="dxa" w:w="152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7"/>
                <w:lang w:val="es-CO" w:eastAsia="es-CO"/>
              </w:rPr>
              <w:t>3. Criticidad</w:t>
            </w:r>
          </w:p>
        </w:tc>
        <w:tc>
          <w:tcPr>
            <w:tcW w:type="dxa" w:w="2189"/>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Ubicación y momento de cada tramo.</w:t>
            </w:r>
          </w:p>
        </w:tc>
        <w:tc>
          <w:tcPr>
            <w:tcW w:type="dxa" w:w="311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Asignar zona y consultar XGBoost de ocurrencia.</w:t>
            </w:r>
          </w:p>
        </w:tc>
        <w:tc>
          <w:tcPr>
            <w:tcW w:type="dxa" w:w="230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Score relativo y categoría visual.</w:t>
            </w:r>
          </w:p>
        </w:tc>
      </w:tr>
      <w:tr>
        <w:trPr>
          <w:cantSplit/>
        </w:trPr>
        <w:tc>
          <w:tcPr>
            <w:tcW w:type="dxa" w:w="152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7"/>
                <w:lang w:val="es-CO" w:eastAsia="es-CO"/>
              </w:rPr>
              <w:t>4. Clima</w:t>
            </w:r>
          </w:p>
        </w:tc>
        <w:tc>
          <w:tcPr>
            <w:tcW w:type="dxa" w:w="2189"/>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Ubicación y hora estimada.</w:t>
            </w:r>
          </w:p>
        </w:tc>
        <w:tc>
          <w:tcPr>
            <w:tcW w:type="dxa" w:w="311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Consultar el pronóstico disponible.</w:t>
            </w:r>
          </w:p>
        </w:tc>
        <w:tc>
          <w:tcPr>
            <w:tcW w:type="dxa" w:w="2304"/>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Condiciones previstas como contexto.</w:t>
            </w:r>
          </w:p>
        </w:tc>
      </w:tr>
      <w:tr>
        <w:trPr>
          <w:cantSplit/>
        </w:trPr>
        <w:tc>
          <w:tcPr>
            <w:tcW w:type="dxa" w:w="152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7"/>
                <w:lang w:val="es-CO" w:eastAsia="es-CO"/>
              </w:rPr>
              <w:t>5. Visualización</w:t>
            </w:r>
          </w:p>
        </w:tc>
        <w:tc>
          <w:tcPr>
            <w:tcW w:type="dxa" w:w="2189"/>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Ruta, tiempo, criticidad y clima.</w:t>
            </w:r>
          </w:p>
        </w:tc>
        <w:tc>
          <w:tcPr>
            <w:tcW w:type="dxa" w:w="311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Integrar mapa y panel de resultados.</w:t>
            </w:r>
          </w:p>
        </w:tc>
        <w:tc>
          <w:tcPr>
            <w:tcW w:type="dxa" w:w="230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Lectura informativa del recorrido.</w:t>
            </w:r>
          </w:p>
        </w:tc>
      </w:tr>
    </w:tbl>
    <w:p>
      <w:pPr>
        <w:spacing w:after="40"/>
      </w:pPr>
    </w:p>
    <w:p>
      <w:pPr>
        <w:pStyle w:val="Heading2"/>
        <w:jc w:val="left"/>
      </w:pPr>
      <w:r>
        <w:rPr>
          <w:lang w:val="es-CO" w:eastAsia="es-CO"/>
        </w:rPr>
        <w:t>7.2. Plan de implementación</w:t>
      </w:r>
    </w:p>
    <w:p>
      <w:pPr>
        <w:keepNext w:val="0"/>
        <w:spacing w:after="120" w:line="276" w:lineRule="auto"/>
        <w:jc w:val="both"/>
      </w:pPr>
      <w:r>
        <w:rPr>
          <w:rFonts w:ascii="Arial" w:hAnsi="Arial" w:eastAsia="Arial" w:cs="Arial"/>
          <w:color w:val="172033"/>
          <w:sz w:val="22"/>
          <w:lang w:val="es-CO" w:eastAsia="es-CO"/>
        </w:rPr>
        <w:t>El plan se organiza en tres semanas. Cada etapa debe cerrar con evidencia reproducible para que los resultados técnicos puedan relacionarse con los requerimientos definidos en la primera entrega.</w:t>
      </w:r>
    </w:p>
    <w:tbl>
      <w:tblPr>
        <w:tblW w:type="auto" w:w="0"/>
        <w:jc w:val="center"/>
        <w:tblLayout w:type="fixed"/>
        <w:tblLook w:firstColumn="1" w:firstRow="1" w:lastColumn="0" w:lastRow="0" w:noHBand="0" w:noVBand="1" w:val="04A0"/>
      </w:tblPr>
      <w:tblGrid>
        <w:gridCol w:w="2282"/>
        <w:gridCol w:w="2282"/>
        <w:gridCol w:w="2282"/>
        <w:gridCol w:w="2282"/>
      </w:tblGrid>
      <w:tr>
        <w:trPr>
          <w:tblHeader w:val="true"/>
          <w:cantSplit/>
        </w:trPr>
        <w:tc>
          <w:tcPr>
            <w:tcW w:type="dxa" w:w="893"/>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Semana</w:t>
            </w:r>
          </w:p>
        </w:tc>
        <w:tc>
          <w:tcPr>
            <w:tcW w:type="dxa" w:w="2016"/>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Objetivo</w:t>
            </w:r>
          </w:p>
        </w:tc>
        <w:tc>
          <w:tcPr>
            <w:tcW w:type="dxa" w:w="3874"/>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Actividades</w:t>
            </w:r>
          </w:p>
        </w:tc>
        <w:tc>
          <w:tcPr>
            <w:tcW w:type="dxa" w:w="2347"/>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Evidencia de cierre</w:t>
            </w:r>
          </w:p>
        </w:tc>
      </w:tr>
      <w:tr>
        <w:trPr>
          <w:cantSplit/>
        </w:trPr>
        <w:tc>
          <w:tcPr>
            <w:tcW w:type="dxa" w:w="89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6"/>
                <w:lang w:val="es-CO" w:eastAsia="es-CO"/>
              </w:rPr>
              <w:t>6</w:t>
            </w:r>
          </w:p>
        </w:tc>
        <w:tc>
          <w:tcPr>
            <w:tcW w:type="dxa" w:w="201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Finalizar el front e integrar los modelos con el backend.</w:t>
            </w:r>
          </w:p>
        </w:tc>
        <w:tc>
          <w:tcPr>
            <w:tcW w:type="dxa" w:w="387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Cerrar el formulario y el mapa; repetir la validación temporal de ocurrencia; exportar el pipeline; integrar la ruta, la asignación de zona, el score y el pronóstico; documentar entradas, salidas y errores.</w:t>
            </w:r>
          </w:p>
        </w:tc>
        <w:tc>
          <w:tcPr>
            <w:tcW w:type="dxa" w:w="234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Aplicación integrada en ambiente de prueba, artefacto versionado y pruebas básicas de ejecución.</w:t>
            </w:r>
          </w:p>
        </w:tc>
      </w:tr>
      <w:tr>
        <w:trPr>
          <w:cantSplit/>
        </w:trPr>
        <w:tc>
          <w:tcPr>
            <w:tcW w:type="dxa" w:w="893"/>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6"/>
                <w:lang w:val="es-CO" w:eastAsia="es-CO"/>
              </w:rPr>
              <w:t>7</w:t>
            </w:r>
          </w:p>
        </w:tc>
        <w:tc>
          <w:tcPr>
            <w:tcW w:type="dxa" w:w="201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Implementar el proyecto en Streamlit y validar los requerimientos.</w:t>
            </w:r>
          </w:p>
        </w:tc>
        <w:tc>
          <w:tcPr>
            <w:tcW w:type="dxa" w:w="3874"/>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Completar el flujo de consulta; preparar casos válidos, casos límite y fallos de servicios; medir cobertura, tiempos y consistencia visual; registrar los resultados de la tabla de requerimientos.</w:t>
            </w:r>
          </w:p>
        </w:tc>
        <w:tc>
          <w:tcPr>
            <w:tcW w:type="dxa" w:w="234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Aplicación desplegada, matriz de pruebas ejecutada y listado de ajustes realizados.</w:t>
            </w:r>
          </w:p>
        </w:tc>
      </w:tr>
      <w:tr>
        <w:trPr>
          <w:cantSplit/>
        </w:trPr>
        <w:tc>
          <w:tcPr>
            <w:tcW w:type="dxa" w:w="89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6"/>
                <w:lang w:val="es-CO" w:eastAsia="es-CO"/>
              </w:rPr>
              <w:t>8</w:t>
            </w:r>
          </w:p>
        </w:tc>
        <w:tc>
          <w:tcPr>
            <w:tcW w:type="dxa" w:w="201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Preparar la entrega final.</w:t>
            </w:r>
          </w:p>
        </w:tc>
        <w:tc>
          <w:tcPr>
            <w:tcW w:type="dxa" w:w="387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Cerrar hallazgos de la semana 7; congelar versiones; seleccionar escenarios demostrables; grabar y revisar el video; organizar los anexos y evidencias.</w:t>
            </w:r>
          </w:p>
        </w:tc>
        <w:tc>
          <w:tcPr>
            <w:tcW w:type="dxa" w:w="234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Video final, versión estable del prototipo y paquete de evidencias de la entrega.</w:t>
            </w:r>
          </w:p>
        </w:tc>
      </w:tr>
    </w:tbl>
    <w:p>
      <w:pPr>
        <w:spacing w:after="40"/>
      </w:pPr>
    </w:p>
    <w:p>
      <w:pPr>
        <w:pStyle w:val="Heading2"/>
        <w:jc w:val="left"/>
      </w:pPr>
      <w:r>
        <w:rPr>
          <w:lang w:val="es-CO" w:eastAsia="es-CO"/>
        </w:rPr>
        <w:t>7.3. Pruebas de los requerimientos</w:t>
      </w:r>
    </w:p>
    <w:p>
      <w:pPr>
        <w:keepNext w:val="0"/>
        <w:spacing w:after="120" w:line="276" w:lineRule="auto"/>
        <w:jc w:val="both"/>
      </w:pPr>
      <w:r>
        <w:rPr>
          <w:rFonts w:ascii="Arial" w:hAnsi="Arial" w:eastAsia="Arial" w:cs="Arial"/>
          <w:color w:val="172033"/>
          <w:sz w:val="22"/>
          <w:lang w:val="es-CO" w:eastAsia="es-CO"/>
        </w:rPr>
        <w:t>Durante la semana 7 se ejecutará una matriz de pruebas basada en los requerimientos de negocio, funcionales, de datos, usabilidad y desempeño analítico. Las pruebas no deben limitarse a verificar que la pantalla se abra; cada caso debe conservar la entrada utilizada, el resultado observado, la métrica calculada y la evidencia correspondiente.</w:t>
      </w:r>
    </w:p>
    <w:p>
      <w:pPr>
        <w:pStyle w:val="Heading3"/>
        <w:jc w:val="left"/>
      </w:pPr>
      <w:r>
        <w:rPr>
          <w:lang w:val="es-CO" w:eastAsia="es-CO"/>
        </w:rPr>
        <w:t>7.3.1. Requerimientos de negocio y funcionales</w:t>
      </w:r>
    </w:p>
    <w:tbl>
      <w:tblPr>
        <w:tblW w:type="auto" w:w="0"/>
        <w:jc w:val="center"/>
        <w:tblLayout w:type="fixed"/>
        <w:tblLook w:firstColumn="1" w:firstRow="1" w:lastColumn="0" w:lastRow="0" w:noHBand="0" w:noVBand="1" w:val="04A0"/>
      </w:tblPr>
      <w:tblGrid>
        <w:gridCol w:w="3043"/>
        <w:gridCol w:w="3043"/>
        <w:gridCol w:w="3043"/>
      </w:tblGrid>
      <w:tr>
        <w:trPr>
          <w:tblHeader w:val="true"/>
          <w:cantSplit/>
        </w:trPr>
        <w:tc>
          <w:tcPr>
            <w:tcW w:type="dxa" w:w="936"/>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ID</w:t>
            </w:r>
          </w:p>
        </w:tc>
        <w:tc>
          <w:tcPr>
            <w:tcW w:type="dxa" w:w="5098"/>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Prueba</w:t>
            </w:r>
          </w:p>
        </w:tc>
        <w:tc>
          <w:tcPr>
            <w:tcW w:type="dxa" w:w="3096"/>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Criterio de aceptación</w:t>
            </w:r>
          </w:p>
        </w:tc>
      </w:tr>
      <w:tr>
        <w:trPr>
          <w:cantSplit/>
        </w:trPr>
        <w:tc>
          <w:tcPr>
            <w:tcW w:type="dxa" w:w="93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6"/>
                <w:lang w:val="es-CO" w:eastAsia="es-CO"/>
              </w:rPr>
              <w:t>RN01</w:t>
            </w:r>
          </w:p>
        </w:tc>
        <w:tc>
          <w:tcPr>
            <w:tcW w:type="dxa" w:w="509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Ejecutar consultas completas y revisar conjuntamente criticidad, tiempo y clima.</w:t>
            </w:r>
          </w:p>
        </w:tc>
        <w:tc>
          <w:tcPr>
            <w:tcW w:type="dxa" w:w="309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100 % de las consultas válidas presenta los tres componentes.</w:t>
            </w:r>
          </w:p>
        </w:tc>
      </w:tr>
      <w:tr>
        <w:trPr>
          <w:cantSplit/>
        </w:trPr>
        <w:tc>
          <w:tcPr>
            <w:tcW w:type="dxa" w:w="93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6"/>
                <w:lang w:val="es-CO" w:eastAsia="es-CO"/>
              </w:rPr>
              <w:t>RN02</w:t>
            </w:r>
          </w:p>
        </w:tc>
        <w:tc>
          <w:tcPr>
            <w:tcW w:type="dxa" w:w="509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Probar fechas y horas futuras dentro del horizonte disponible.</w:t>
            </w:r>
          </w:p>
        </w:tc>
        <w:tc>
          <w:tcPr>
            <w:tcW w:type="dxa" w:w="309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Al menos 95 % genera una estimación de criticidad.</w:t>
            </w:r>
          </w:p>
        </w:tc>
      </w:tr>
      <w:tr>
        <w:trPr>
          <w:cantSplit/>
        </w:trPr>
        <w:tc>
          <w:tcPr>
            <w:tcW w:type="dxa" w:w="93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6"/>
                <w:lang w:val="es-CO" w:eastAsia="es-CO"/>
              </w:rPr>
              <w:t>RN03</w:t>
            </w:r>
          </w:p>
        </w:tc>
        <w:tc>
          <w:tcPr>
            <w:tcW w:type="dxa" w:w="509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Revisar textos, mensajes y resultados de distintos escenarios.</w:t>
            </w:r>
          </w:p>
        </w:tc>
        <w:tc>
          <w:tcPr>
            <w:tcW w:type="dxa" w:w="309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Ningún resultado contiene recomendaciones de ruta o instrucciones de conducción.</w:t>
            </w:r>
          </w:p>
        </w:tc>
      </w:tr>
      <w:tr>
        <w:trPr>
          <w:cantSplit/>
        </w:trPr>
        <w:tc>
          <w:tcPr>
            <w:tcW w:type="dxa" w:w="93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6"/>
                <w:lang w:val="es-CO" w:eastAsia="es-CO"/>
              </w:rPr>
              <w:t>RF01</w:t>
            </w:r>
          </w:p>
        </w:tc>
        <w:tc>
          <w:tcPr>
            <w:tcW w:type="dxa" w:w="509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Completar el formulario con entradas válidas e inválidas.</w:t>
            </w:r>
          </w:p>
        </w:tc>
        <w:tc>
          <w:tcPr>
            <w:tcW w:type="dxa" w:w="309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100 % de los campos obligatorios se valida y los errores se comunican.</w:t>
            </w:r>
          </w:p>
        </w:tc>
      </w:tr>
      <w:tr>
        <w:trPr>
          <w:cantSplit/>
        </w:trPr>
        <w:tc>
          <w:tcPr>
            <w:tcW w:type="dxa" w:w="93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6"/>
                <w:lang w:val="es-CO" w:eastAsia="es-CO"/>
              </w:rPr>
              <w:t>RF02</w:t>
            </w:r>
          </w:p>
        </w:tc>
        <w:tc>
          <w:tcPr>
            <w:tcW w:type="dxa" w:w="509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Consultar rutas entre diferentes puntos de Bogotá.</w:t>
            </w:r>
          </w:p>
        </w:tc>
        <w:tc>
          <w:tcPr>
            <w:tcW w:type="dxa" w:w="309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Al menos 95 % de las rutas válidas obtiene un recorrido.</w:t>
            </w:r>
          </w:p>
        </w:tc>
      </w:tr>
      <w:tr>
        <w:trPr>
          <w:cantSplit/>
        </w:trPr>
        <w:tc>
          <w:tcPr>
            <w:tcW w:type="dxa" w:w="93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6"/>
                <w:lang w:val="es-CO" w:eastAsia="es-CO"/>
              </w:rPr>
              <w:t>RF03</w:t>
            </w:r>
          </w:p>
        </w:tc>
        <w:tc>
          <w:tcPr>
            <w:tcW w:type="dxa" w:w="509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Comparar la hora estimada de cada tramo con la respuesta del servicio de rutas.</w:t>
            </w:r>
          </w:p>
        </w:tc>
        <w:tc>
          <w:tcPr>
            <w:tcW w:type="dxa" w:w="309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100 % de los tramos procesados tiene una hora estimada.</w:t>
            </w:r>
          </w:p>
        </w:tc>
      </w:tr>
      <w:tr>
        <w:trPr>
          <w:cantSplit/>
        </w:trPr>
        <w:tc>
          <w:tcPr>
            <w:tcW w:type="dxa" w:w="93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6"/>
                <w:lang w:val="es-CO" w:eastAsia="es-CO"/>
              </w:rPr>
              <w:t>RF04</w:t>
            </w:r>
          </w:p>
        </w:tc>
        <w:tc>
          <w:tcPr>
            <w:tcW w:type="dxa" w:w="509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Revisar la asignación de zona, score y categoría por tramo.</w:t>
            </w:r>
          </w:p>
        </w:tc>
        <w:tc>
          <w:tcPr>
            <w:tcW w:type="dxa" w:w="309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Al menos 95 % de los tramos consultados obtiene criticidad.</w:t>
            </w:r>
          </w:p>
        </w:tc>
      </w:tr>
      <w:tr>
        <w:trPr>
          <w:cantSplit/>
        </w:trPr>
        <w:tc>
          <w:tcPr>
            <w:tcW w:type="dxa" w:w="93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6"/>
                <w:lang w:val="es-CO" w:eastAsia="es-CO"/>
              </w:rPr>
              <w:t>RF05</w:t>
            </w:r>
          </w:p>
        </w:tc>
        <w:tc>
          <w:tcPr>
            <w:tcW w:type="dxa" w:w="509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Comparar el pronóstico presentado con la respuesta meteorológica.</w:t>
            </w:r>
          </w:p>
        </w:tc>
        <w:tc>
          <w:tcPr>
            <w:tcW w:type="dxa" w:w="309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Al menos 95 % de los puntos consultados tiene clima disponible.</w:t>
            </w:r>
          </w:p>
        </w:tc>
      </w:tr>
      <w:tr>
        <w:trPr>
          <w:cantSplit/>
        </w:trPr>
        <w:tc>
          <w:tcPr>
            <w:tcW w:type="dxa" w:w="93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6"/>
                <w:lang w:val="es-CO" w:eastAsia="es-CO"/>
              </w:rPr>
              <w:t>RF06</w:t>
            </w:r>
          </w:p>
        </w:tc>
        <w:tc>
          <w:tcPr>
            <w:tcW w:type="dxa" w:w="509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Revisar que mapa y panel presenten todos los componentes.</w:t>
            </w:r>
          </w:p>
        </w:tc>
        <w:tc>
          <w:tcPr>
            <w:tcW w:type="dxa" w:w="309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Ruta, criticidad, hora y clima se visualizan de manera integrada.</w:t>
            </w:r>
          </w:p>
        </w:tc>
      </w:tr>
    </w:tbl>
    <w:p>
      <w:pPr>
        <w:spacing w:after="40"/>
      </w:pPr>
    </w:p>
    <w:p>
      <w:pPr>
        <w:pStyle w:val="Heading3"/>
        <w:jc w:val="left"/>
      </w:pPr>
      <w:r>
        <w:rPr>
          <w:lang w:val="es-CO" w:eastAsia="es-CO"/>
        </w:rPr>
        <w:t>7.3.2. Requerimientos de datos</w:t>
      </w:r>
    </w:p>
    <w:tbl>
      <w:tblPr>
        <w:tblW w:type="auto" w:w="0"/>
        <w:jc w:val="center"/>
        <w:tblLayout w:type="fixed"/>
        <w:tblLook w:firstColumn="1" w:firstRow="1" w:lastColumn="0" w:lastRow="0" w:noHBand="0" w:noVBand="1" w:val="04A0"/>
      </w:tblPr>
      <w:tblGrid>
        <w:gridCol w:w="3043"/>
        <w:gridCol w:w="3043"/>
        <w:gridCol w:w="3043"/>
      </w:tblGrid>
      <w:tr>
        <w:trPr>
          <w:tblHeader w:val="true"/>
          <w:cantSplit/>
        </w:trPr>
        <w:tc>
          <w:tcPr>
            <w:tcW w:type="dxa" w:w="936"/>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ID</w:t>
            </w:r>
          </w:p>
        </w:tc>
        <w:tc>
          <w:tcPr>
            <w:tcW w:type="dxa" w:w="5098"/>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Prueba</w:t>
            </w:r>
          </w:p>
        </w:tc>
        <w:tc>
          <w:tcPr>
            <w:tcW w:type="dxa" w:w="3096"/>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Criterio de aceptación</w:t>
            </w:r>
          </w:p>
        </w:tc>
      </w:tr>
      <w:tr>
        <w:trPr>
          <w:cantSplit/>
        </w:trPr>
        <w:tc>
          <w:tcPr>
            <w:tcW w:type="dxa" w:w="93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6"/>
                <w:lang w:val="es-CO" w:eastAsia="es-CO"/>
              </w:rPr>
              <w:t>RD01</w:t>
            </w:r>
          </w:p>
        </w:tc>
        <w:tc>
          <w:tcPr>
            <w:tcW w:type="dxa" w:w="509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Repetir las reglas de calidad sobre los datos de entrada.</w:t>
            </w:r>
          </w:p>
        </w:tc>
        <w:tc>
          <w:tcPr>
            <w:tcW w:type="dxa" w:w="309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Al menos 90 % de los registros es válido para el análisis.</w:t>
            </w:r>
          </w:p>
        </w:tc>
      </w:tr>
      <w:tr>
        <w:trPr>
          <w:cantSplit/>
        </w:trPr>
        <w:tc>
          <w:tcPr>
            <w:tcW w:type="dxa" w:w="93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6"/>
                <w:lang w:val="es-CO" w:eastAsia="es-CO"/>
              </w:rPr>
              <w:t>RD02</w:t>
            </w:r>
          </w:p>
        </w:tc>
        <w:tc>
          <w:tcPr>
            <w:tcW w:type="dxa" w:w="509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Verificar llaves, granularidad y duplicados en los conjuntos finales.</w:t>
            </w:r>
          </w:p>
        </w:tc>
        <w:tc>
          <w:tcPr>
            <w:tcW w:type="dxa" w:w="309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Las relaciones conservan la granularidad y no existen duplicados artificiales.</w:t>
            </w:r>
          </w:p>
        </w:tc>
      </w:tr>
      <w:tr>
        <w:trPr>
          <w:cantSplit/>
        </w:trPr>
        <w:tc>
          <w:tcPr>
            <w:tcW w:type="dxa" w:w="93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6"/>
                <w:lang w:val="es-CO" w:eastAsia="es-CO"/>
              </w:rPr>
              <w:t>RD03</w:t>
            </w:r>
          </w:p>
        </w:tc>
        <w:tc>
          <w:tcPr>
            <w:tcW w:type="dxa" w:w="509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Cruzar accidentes elegibles con observaciones meteorológicas.</w:t>
            </w:r>
          </w:p>
        </w:tc>
        <w:tc>
          <w:tcPr>
            <w:tcW w:type="dxa" w:w="309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Al menos 95 % cuenta con información climática asociada.</w:t>
            </w:r>
          </w:p>
        </w:tc>
      </w:tr>
      <w:tr>
        <w:trPr>
          <w:cantSplit/>
        </w:trPr>
        <w:tc>
          <w:tcPr>
            <w:tcW w:type="dxa" w:w="93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6"/>
                <w:lang w:val="es-CO" w:eastAsia="es-CO"/>
              </w:rPr>
              <w:t>RD04</w:t>
            </w:r>
          </w:p>
        </w:tc>
        <w:tc>
          <w:tcPr>
            <w:tcW w:type="dxa" w:w="509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Comprobar cobertura temporal y espacial y mantener la prueba fuera de tiempo.</w:t>
            </w:r>
          </w:p>
        </w:tc>
        <w:tc>
          <w:tcPr>
            <w:tcW w:type="dxa" w:w="309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El periodo y el perímetro están documentados y la evaluación temporal permanece separada.</w:t>
            </w:r>
          </w:p>
        </w:tc>
      </w:tr>
      <w:tr>
        <w:trPr>
          <w:cantSplit/>
        </w:trPr>
        <w:tc>
          <w:tcPr>
            <w:tcW w:type="dxa" w:w="93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6"/>
                <w:lang w:val="es-CO" w:eastAsia="es-CO"/>
              </w:rPr>
              <w:t>RD05</w:t>
            </w:r>
          </w:p>
        </w:tc>
        <w:tc>
          <w:tcPr>
            <w:tcW w:type="dxa" w:w="509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Revisar el contrato de variables del modelo de ocurrencia.</w:t>
            </w:r>
          </w:p>
        </w:tc>
        <w:tc>
          <w:tcPr>
            <w:tcW w:type="dxa" w:w="309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100 % de los predictores está disponible antes de calcular la criticidad.</w:t>
            </w:r>
          </w:p>
        </w:tc>
      </w:tr>
    </w:tbl>
    <w:p>
      <w:pPr>
        <w:spacing w:after="40"/>
      </w:pPr>
    </w:p>
    <w:p>
      <w:pPr>
        <w:pStyle w:val="Heading3"/>
        <w:jc w:val="left"/>
      </w:pPr>
      <w:r>
        <w:rPr>
          <w:lang w:val="es-CO" w:eastAsia="es-CO"/>
        </w:rPr>
        <w:t>7.3.3. Requerimientos de usabilidad</w:t>
      </w:r>
    </w:p>
    <w:tbl>
      <w:tblPr>
        <w:tblW w:type="auto" w:w="0"/>
        <w:jc w:val="center"/>
        <w:tblLayout w:type="fixed"/>
        <w:tblLook w:firstColumn="1" w:firstRow="1" w:lastColumn="0" w:lastRow="0" w:noHBand="0" w:noVBand="1" w:val="04A0"/>
      </w:tblPr>
      <w:tblGrid>
        <w:gridCol w:w="3043"/>
        <w:gridCol w:w="3043"/>
        <w:gridCol w:w="3043"/>
      </w:tblGrid>
      <w:tr>
        <w:trPr>
          <w:tblHeader w:val="true"/>
          <w:cantSplit/>
        </w:trPr>
        <w:tc>
          <w:tcPr>
            <w:tcW w:type="dxa" w:w="936"/>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ID</w:t>
            </w:r>
          </w:p>
        </w:tc>
        <w:tc>
          <w:tcPr>
            <w:tcW w:type="dxa" w:w="5098"/>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Prueba</w:t>
            </w:r>
          </w:p>
        </w:tc>
        <w:tc>
          <w:tcPr>
            <w:tcW w:type="dxa" w:w="3096"/>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Criterio de aceptación</w:t>
            </w:r>
          </w:p>
        </w:tc>
      </w:tr>
      <w:tr>
        <w:trPr>
          <w:cantSplit/>
        </w:trPr>
        <w:tc>
          <w:tcPr>
            <w:tcW w:type="dxa" w:w="93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6"/>
                <w:lang w:val="es-CO" w:eastAsia="es-CO"/>
              </w:rPr>
              <w:t>RU01</w:t>
            </w:r>
          </w:p>
        </w:tc>
        <w:tc>
          <w:tcPr>
            <w:tcW w:type="dxa" w:w="509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Comparar las categorías y colores de criticidad en diferentes rutas.</w:t>
            </w:r>
          </w:p>
        </w:tc>
        <w:tc>
          <w:tcPr>
            <w:tcW w:type="dxa" w:w="309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Las categorías se distinguen y mantienen una representación visual consistente.</w:t>
            </w:r>
          </w:p>
        </w:tc>
      </w:tr>
      <w:tr>
        <w:trPr>
          <w:cantSplit/>
        </w:trPr>
        <w:tc>
          <w:tcPr>
            <w:tcW w:type="dxa" w:w="93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6"/>
                <w:lang w:val="es-CO" w:eastAsia="es-CO"/>
              </w:rPr>
              <w:t>RU02</w:t>
            </w:r>
          </w:p>
        </w:tc>
        <w:tc>
          <w:tcPr>
            <w:tcW w:type="dxa" w:w="509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Revisar etiquetas, unidades y ubicación de cada componente.</w:t>
            </w:r>
          </w:p>
        </w:tc>
        <w:tc>
          <w:tcPr>
            <w:tcW w:type="dxa" w:w="309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100 % de los componentes disponibles está identificado de manera independiente.</w:t>
            </w:r>
          </w:p>
        </w:tc>
      </w:tr>
      <w:tr>
        <w:trPr>
          <w:cantSplit/>
        </w:trPr>
        <w:tc>
          <w:tcPr>
            <w:tcW w:type="dxa" w:w="93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6"/>
                <w:lang w:val="es-CO" w:eastAsia="es-CO"/>
              </w:rPr>
              <w:t>RU03</w:t>
            </w:r>
          </w:p>
        </w:tc>
        <w:tc>
          <w:tcPr>
            <w:tcW w:type="dxa" w:w="509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Ejecutar escenarios completos desde el ingreso hasta el resultado.</w:t>
            </w:r>
          </w:p>
        </w:tc>
        <w:tc>
          <w:tcPr>
            <w:tcW w:type="dxa" w:w="309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100 % de los escenarios válidos se completa sin depender de información técnica del usuario.</w:t>
            </w:r>
          </w:p>
        </w:tc>
      </w:tr>
      <w:tr>
        <w:trPr>
          <w:cantSplit/>
        </w:trPr>
        <w:tc>
          <w:tcPr>
            <w:tcW w:type="dxa" w:w="93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6"/>
                <w:lang w:val="es-CO" w:eastAsia="es-CO"/>
              </w:rPr>
              <w:t>RU04</w:t>
            </w:r>
          </w:p>
        </w:tc>
        <w:tc>
          <w:tcPr>
            <w:tcW w:type="dxa" w:w="509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Revisar textos explicativos del score y las categorías.</w:t>
            </w:r>
          </w:p>
        </w:tc>
        <w:tc>
          <w:tcPr>
            <w:tcW w:type="dxa" w:w="309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Todas las pantallas comunican criticidad relativa y evitan interpretarla como probabilidad individual.</w:t>
            </w:r>
          </w:p>
        </w:tc>
      </w:tr>
      <w:tr>
        <w:trPr>
          <w:cantSplit/>
        </w:trPr>
        <w:tc>
          <w:tcPr>
            <w:tcW w:type="dxa" w:w="93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6"/>
                <w:lang w:val="es-CO" w:eastAsia="es-CO"/>
              </w:rPr>
              <w:t>RU05</w:t>
            </w:r>
          </w:p>
        </w:tc>
        <w:tc>
          <w:tcPr>
            <w:tcW w:type="dxa" w:w="509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Comparar tramos, colores y categorías asignadas.</w:t>
            </w:r>
          </w:p>
        </w:tc>
        <w:tc>
          <w:tcPr>
            <w:tcW w:type="dxa" w:w="309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100 % de los tramos representa visualmente la categoría calculada.</w:t>
            </w:r>
          </w:p>
        </w:tc>
      </w:tr>
    </w:tbl>
    <w:p>
      <w:pPr>
        <w:spacing w:after="40"/>
      </w:pPr>
    </w:p>
    <w:p>
      <w:r>
        <w:br w:type="page"/>
      </w:r>
    </w:p>
    <w:p>
      <w:pPr>
        <w:pStyle w:val="Heading3"/>
        <w:jc w:val="left"/>
      </w:pPr>
      <w:r>
        <w:rPr>
          <w:lang w:val="es-CO" w:eastAsia="es-CO"/>
        </w:rPr>
        <w:t>7.3.4. Requerimientos de desempeño analítico</w:t>
      </w:r>
    </w:p>
    <w:tbl>
      <w:tblPr>
        <w:tblW w:type="auto" w:w="0"/>
        <w:jc w:val="center"/>
        <w:tblLayout w:type="fixed"/>
        <w:tblLook w:firstColumn="1" w:firstRow="1" w:lastColumn="0" w:lastRow="0" w:noHBand="0" w:noVBand="1" w:val="04A0"/>
      </w:tblPr>
      <w:tblGrid>
        <w:gridCol w:w="3043"/>
        <w:gridCol w:w="3043"/>
        <w:gridCol w:w="3043"/>
      </w:tblGrid>
      <w:tr>
        <w:trPr>
          <w:tblHeader w:val="true"/>
          <w:cantSplit/>
        </w:trPr>
        <w:tc>
          <w:tcPr>
            <w:tcW w:type="dxa" w:w="936"/>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ID</w:t>
            </w:r>
          </w:p>
        </w:tc>
        <w:tc>
          <w:tcPr>
            <w:tcW w:type="dxa" w:w="5098"/>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Prueba</w:t>
            </w:r>
          </w:p>
        </w:tc>
        <w:tc>
          <w:tcPr>
            <w:tcW w:type="dxa" w:w="3096"/>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Criterio de aceptación</w:t>
            </w:r>
          </w:p>
        </w:tc>
      </w:tr>
      <w:tr>
        <w:trPr>
          <w:cantSplit/>
        </w:trPr>
        <w:tc>
          <w:tcPr>
            <w:tcW w:type="dxa" w:w="93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6"/>
                <w:lang w:val="es-CO" w:eastAsia="es-CO"/>
              </w:rPr>
              <w:t>RA01</w:t>
            </w:r>
          </w:p>
        </w:tc>
        <w:tc>
          <w:tcPr>
            <w:tcW w:type="dxa" w:w="509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Comparar la distribución del score y las categorías con la siniestralidad histórica.</w:t>
            </w:r>
          </w:p>
        </w:tc>
        <w:tc>
          <w:tcPr>
            <w:tcW w:type="dxa" w:w="309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Las categorías de mayor criticidad presentan niveles históricos superiores.</w:t>
            </w:r>
          </w:p>
        </w:tc>
      </w:tr>
      <w:tr>
        <w:trPr>
          <w:cantSplit/>
        </w:trPr>
        <w:tc>
          <w:tcPr>
            <w:tcW w:type="dxa" w:w="93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6"/>
                <w:lang w:val="es-CO" w:eastAsia="es-CO"/>
              </w:rPr>
              <w:t>RA02</w:t>
            </w:r>
          </w:p>
        </w:tc>
        <w:tc>
          <w:tcPr>
            <w:tcW w:type="dxa" w:w="509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Evaluar el modelo de ocurrencia en un periodo posterior al entrenamiento.</w:t>
            </w:r>
          </w:p>
        </w:tc>
        <w:tc>
          <w:tcPr>
            <w:tcW w:type="dxa" w:w="309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El desempeño no presenta un deterioro material frente a validación.</w:t>
            </w:r>
          </w:p>
        </w:tc>
      </w:tr>
      <w:tr>
        <w:trPr>
          <w:cantSplit/>
        </w:trPr>
        <w:tc>
          <w:tcPr>
            <w:tcW w:type="dxa" w:w="93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6"/>
                <w:lang w:val="es-CO" w:eastAsia="es-CO"/>
              </w:rPr>
              <w:t>RA03</w:t>
            </w:r>
          </w:p>
        </w:tc>
        <w:tc>
          <w:tcPr>
            <w:tcW w:type="dxa" w:w="509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Comparar el mismo modelo con y sin variables meteorológicas.</w:t>
            </w:r>
          </w:p>
        </w:tc>
        <w:tc>
          <w:tcPr>
            <w:tcW w:type="dxa" w:w="309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El clima se incorpora solamente si la mejora relativa alcanza 5 %.</w:t>
            </w:r>
          </w:p>
        </w:tc>
      </w:tr>
      <w:tr>
        <w:trPr>
          <w:cantSplit/>
        </w:trPr>
        <w:tc>
          <w:tcPr>
            <w:tcW w:type="dxa" w:w="93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6"/>
                <w:lang w:val="es-CO" w:eastAsia="es-CO"/>
              </w:rPr>
              <w:t>RA04</w:t>
            </w:r>
          </w:p>
        </w:tc>
        <w:tc>
          <w:tcPr>
            <w:tcW w:type="dxa" w:w="509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Comparar distribución, orden y categorías entre periodos y zonas.</w:t>
            </w:r>
          </w:p>
        </w:tc>
        <w:tc>
          <w:tcPr>
            <w:tcW w:type="dxa" w:w="309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Los resultados mantienen un comportamiento coherente y documentado.</w:t>
            </w:r>
          </w:p>
        </w:tc>
      </w:tr>
      <w:tr>
        <w:trPr>
          <w:cantSplit/>
        </w:trPr>
        <w:tc>
          <w:tcPr>
            <w:tcW w:type="dxa" w:w="93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6"/>
                <w:lang w:val="es-CO" w:eastAsia="es-CO"/>
              </w:rPr>
              <w:t>RA05</w:t>
            </w:r>
          </w:p>
        </w:tc>
        <w:tc>
          <w:tcPr>
            <w:tcW w:type="dxa" w:w="509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Comparar el modelo final con la línea base y los candidatos.</w:t>
            </w:r>
          </w:p>
        </w:tc>
        <w:tc>
          <w:tcPr>
            <w:tcW w:type="dxa" w:w="309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6"/>
                <w:lang w:val="es-CO" w:eastAsia="es-CO"/>
              </w:rPr>
              <w:t>La selección queda documentada y supera la referencia en las métricas principales.</w:t>
            </w:r>
          </w:p>
        </w:tc>
      </w:tr>
    </w:tbl>
    <w:p>
      <w:pPr>
        <w:spacing w:after="40"/>
      </w:pPr>
    </w:p>
    <w:p>
      <w:pPr>
        <w:pStyle w:val="Heading2"/>
        <w:jc w:val="left"/>
      </w:pPr>
      <w:r>
        <w:rPr>
          <w:lang w:val="es-CO" w:eastAsia="es-CO"/>
        </w:rPr>
        <w:t>7.4. Cobertura del entregable</w:t>
      </w:r>
    </w:p>
    <w:p>
      <w:pPr>
        <w:keepNext/>
        <w:spacing w:after="100" w:line="276" w:lineRule="auto"/>
        <w:jc w:val="both"/>
      </w:pPr>
      <w:r>
        <w:rPr>
          <w:rFonts w:ascii="Arial" w:hAnsi="Arial" w:eastAsia="Arial" w:cs="Arial"/>
          <w:color w:val="172033"/>
          <w:sz w:val="22"/>
          <w:lang w:val="es-CO" w:eastAsia="es-CO"/>
        </w:rPr>
        <w:t>El contenido del reporte se relaciona con los cuatro componentes solicitados para la fase de la siguiente manera:</w:t>
      </w:r>
    </w:p>
    <w:tbl>
      <w:tblPr>
        <w:tblW w:type="auto" w:w="0"/>
        <w:jc w:val="center"/>
        <w:tblLayout w:type="fixed"/>
        <w:tblLook w:firstColumn="1" w:firstRow="1" w:lastColumn="0" w:lastRow="0" w:noHBand="0" w:noVBand="1" w:val="04A0"/>
      </w:tblPr>
      <w:tblGrid>
        <w:gridCol w:w="4565"/>
        <w:gridCol w:w="4565"/>
      </w:tblGrid>
      <w:tr>
        <w:trPr>
          <w:tblHeader w:val="true"/>
          <w:cantSplit/>
        </w:trPr>
        <w:tc>
          <w:tcPr>
            <w:tcW w:type="dxa" w:w="3672"/>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Componente solicitado</w:t>
            </w:r>
          </w:p>
        </w:tc>
        <w:tc>
          <w:tcPr>
            <w:tcW w:type="dxa" w:w="5458"/>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Secciones que presentan la evidencia</w:t>
            </w:r>
          </w:p>
        </w:tc>
      </w:tr>
      <w:tr>
        <w:trPr>
          <w:cantSplit/>
        </w:trPr>
        <w:tc>
          <w:tcPr>
            <w:tcW w:type="dxa" w:w="367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7"/>
                <w:lang w:val="es-CO" w:eastAsia="es-CO"/>
              </w:rPr>
              <w:t>Pruebas de verificación de supuestos y tratamiento previo</w:t>
            </w:r>
          </w:p>
        </w:tc>
        <w:tc>
          <w:tcPr>
            <w:tcW w:type="dxa" w:w="545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Captura de datos, limpieza, integración, granularidad, faltantes, desbalance, fuga de información y partición temporal en las secciones 2 y 3.</w:t>
            </w:r>
          </w:p>
        </w:tc>
      </w:tr>
      <w:tr>
        <w:trPr>
          <w:cantSplit/>
        </w:trPr>
        <w:tc>
          <w:tcPr>
            <w:tcW w:type="dxa" w:w="367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7"/>
                <w:lang w:val="es-CO" w:eastAsia="es-CO"/>
              </w:rPr>
              <w:t>Calibración y entrenamiento de los modelos</w:t>
            </w:r>
          </w:p>
        </w:tc>
        <w:tc>
          <w:tcPr>
            <w:tcW w:type="dxa" w:w="545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Selección de variables, escenarios, particiones, hiperparámetros y métricas en las secciones 4, 5 y 6.</w:t>
            </w:r>
          </w:p>
        </w:tc>
      </w:tr>
      <w:tr>
        <w:trPr>
          <w:cantSplit/>
        </w:trPr>
        <w:tc>
          <w:tcPr>
            <w:tcW w:type="dxa" w:w="367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7"/>
                <w:lang w:val="es-CO" w:eastAsia="es-CO"/>
              </w:rPr>
              <w:t>Análisis de resultados e implementación de ajustes</w:t>
            </w:r>
          </w:p>
        </w:tc>
        <w:tc>
          <w:tcPr>
            <w:tcW w:type="dxa" w:w="545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Comparación de candidatos, efecto del clima, diagnóstico por clase y ajustes pendientes en las secciones 4.5, 5.4, 5.5 y 6.4.</w:t>
            </w:r>
          </w:p>
        </w:tc>
      </w:tr>
      <w:tr>
        <w:trPr>
          <w:cantSplit/>
        </w:trPr>
        <w:tc>
          <w:tcPr>
            <w:tcW w:type="dxa" w:w="367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7"/>
                <w:lang w:val="es-CO" w:eastAsia="es-CO"/>
              </w:rPr>
              <w:t>Plan de implementación del prototipo</w:t>
            </w:r>
          </w:p>
        </w:tc>
        <w:tc>
          <w:tcPr>
            <w:tcW w:type="dxa" w:w="545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7"/>
                <w:lang w:val="es-CO" w:eastAsia="es-CO"/>
              </w:rPr>
              <w:t>Plan de semanas 6, 7 y 8 y pruebas de los requerimientos en las secciones 7.1, 7.2 y 7.3.</w:t>
            </w:r>
          </w:p>
        </w:tc>
      </w:tr>
    </w:tbl>
    <w:p>
      <w:pPr>
        <w:spacing w:after="40"/>
      </w:pPr>
    </w:p>
    <w:p>
      <w:pPr>
        <w:pStyle w:val="Heading2"/>
        <w:jc w:val="left"/>
      </w:pPr>
      <w:r>
        <w:rPr>
          <w:lang w:val="es-CO" w:eastAsia="es-CO"/>
        </w:rPr>
        <w:t>7.5. Cierre</w:t>
      </w:r>
    </w:p>
    <w:p>
      <w:pPr>
        <w:keepNext w:val="0"/>
        <w:spacing w:after="120" w:line="276" w:lineRule="auto"/>
        <w:jc w:val="both"/>
      </w:pPr>
      <w:r>
        <w:rPr>
          <w:rFonts w:ascii="Arial" w:hAnsi="Arial" w:eastAsia="Arial" w:cs="Arial"/>
          <w:color w:val="172033"/>
          <w:sz w:val="22"/>
          <w:lang w:val="es-CO" w:eastAsia="es-CO"/>
        </w:rPr>
        <w:t>La fase deja una base depurada, tres conjuntos de modelado y evidencia comparable para las cuatro familias de algoritmos. XGBoost sin clima es el candidato del modelo de ocurrencia y se encuentra alineado con la consulta de origen, destino, fecha y hora definida para PrediRuta. El modelo de estado dispone de artefactos exportados, pero requiere una decisión sobre sus variables adicionales. El modelo de clase permanece como resultado experimental por su bajo desempeño en OTROS y por la necesidad de repetir el cierre con el escenario sin clima.</w:t>
      </w:r>
    </w:p>
    <w:p>
      <w:pPr>
        <w:keepNext w:val="0"/>
        <w:spacing w:after="120" w:line="276" w:lineRule="auto"/>
        <w:jc w:val="both"/>
      </w:pPr>
      <w:r>
        <w:rPr>
          <w:rFonts w:ascii="Arial" w:hAnsi="Arial" w:eastAsia="Arial" w:cs="Arial"/>
          <w:color w:val="172033"/>
          <w:sz w:val="22"/>
          <w:lang w:val="es-CO" w:eastAsia="es-CO"/>
        </w:rPr>
        <w:t>La siguiente fase se concentrará en convertir la evidencia analítica en un flujo reproducible de usuario. La integración deberá conservar el alcance informativo del producto, mostrar la criticidad como una comparación relativa y registrar las pruebas necesarias para demostrar el cumplimiento de los requerimientos de la primera entrega.</w:t>
      </w:r>
    </w:p>
    <w:sectPr w:rsidR="00FC693F" w:rsidRPr="0006063C" w:rsidSect="00034616">
      <w:footerReference w:type="default" r:id="rId9"/>
      <w:pgSz w:w="12240" w:h="15840"/>
      <w:pgMar w:top="893" w:right="1555" w:bottom="979" w:left="1555"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Arial" w:hAnsi="Arial" w:eastAsia="Arial" w:cs="Arial"/>
        <w:color w:val="000000"/>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Arial" w:hAnsi="Arial" w:eastAsia="Arial"/>
      <w:color w:val="1720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eastAsia="Arial"/>
      <w:b/>
      <w:bCs/>
      <w:i w:val="0"/>
      <w:color w:val="00206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eastAsia="Arial"/>
      <w:b/>
      <w:bCs/>
      <w:i w:val="0"/>
      <w:color w:val="002060"/>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Arial"/>
      <w:b/>
      <w:bCs/>
      <w:i w:val="0"/>
      <w:color w:val="00206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rial" w:hAnsi="Arial" w:eastAsia="Arial"/>
      <w:b/>
      <w:i w:val="0"/>
      <w:color w:val="00206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00"/>
    </w:pPr>
    <w:rPr>
      <w:rFonts w:asciiTheme="majorHAnsi" w:eastAsiaTheme="majorEastAsia" w:hAnsiTheme="majorHAnsi" w:cstheme="majorBidi" w:ascii="Arial" w:hAnsi="Arial" w:eastAsia="Arial"/>
      <w:b/>
      <w:i w:val="0"/>
      <w:iCs/>
      <w:color w:val="00206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40"/>
    </w:pPr>
    <w:rPr>
      <w:rFonts w:ascii="Arial" w:hAnsi="Arial"/>
      <w:b/>
      <w:bCs/>
      <w:i/>
      <w:color w:val="454C5B"/>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PrediRuta - Reporte de implementación y experimentos</dc:title>
  <dc:subject>Fase 2 - Semanas 3, 4 y 5</dc:subject>
  <dc:creator>Lizeth García, Carlos Silva y Leonardo Guzman</dc:creator>
  <cp:keywords>PrediRuta, implementación, experimentos, modelos, riesgo vial</cp:keywords>
  <dc:description>generated by python-docx</dc:description>
  <cp:lastModifiedBy/>
  <cp:revision>1</cp:revision>
  <dcterms:created xsi:type="dcterms:W3CDTF">2013-12-23T23:15:00Z</dcterms:created>
  <dcterms:modified xsi:type="dcterms:W3CDTF">2013-12-23T23:15:00Z</dcterms:modified>
  <cp:category/>
</cp:coreProperties>
</file>