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2DA8C" w14:textId="08DD4BDA" w:rsidR="00D64F0C" w:rsidRDefault="000B457F">
      <w:pPr>
        <w:jc w:val="center"/>
        <w:rPr>
          <w:b/>
          <w:sz w:val="24"/>
          <w:szCs w:val="24"/>
        </w:rPr>
      </w:pPr>
      <w:r>
        <w:rPr>
          <w:b/>
          <w:sz w:val="24"/>
          <w:szCs w:val="24"/>
        </w:rPr>
        <w:t>Trabajo módulo salud</w:t>
      </w:r>
    </w:p>
    <w:p w14:paraId="53A6D0D3" w14:textId="77777777" w:rsidR="00D64F0C" w:rsidRDefault="00D64F0C">
      <w:pPr>
        <w:jc w:val="center"/>
        <w:rPr>
          <w:b/>
          <w:sz w:val="24"/>
          <w:szCs w:val="24"/>
        </w:rPr>
      </w:pPr>
    </w:p>
    <w:p w14:paraId="41A60FAF" w14:textId="31DF38EB" w:rsidR="00D64F0C" w:rsidRDefault="00000000">
      <w:pPr>
        <w:jc w:val="center"/>
        <w:rPr>
          <w:b/>
          <w:sz w:val="24"/>
          <w:szCs w:val="24"/>
        </w:rPr>
      </w:pPr>
      <w:r>
        <w:rPr>
          <w:b/>
          <w:sz w:val="24"/>
          <w:szCs w:val="24"/>
        </w:rPr>
        <w:t xml:space="preserve">Por: Alejandra Aguirre Monsalve, Laura Herrera Giraldo, Carlos Enrique </w:t>
      </w:r>
      <w:r w:rsidR="000B457F">
        <w:rPr>
          <w:b/>
          <w:sz w:val="24"/>
          <w:szCs w:val="24"/>
        </w:rPr>
        <w:t>Vásquez</w:t>
      </w:r>
      <w:r>
        <w:rPr>
          <w:b/>
          <w:sz w:val="24"/>
          <w:szCs w:val="24"/>
        </w:rPr>
        <w:t xml:space="preserve"> Ortiz y Yuddy Lorena Giraldo Valencia</w:t>
      </w:r>
    </w:p>
    <w:p w14:paraId="1AB48F08" w14:textId="77777777" w:rsidR="00D64F0C" w:rsidRDefault="00D64F0C">
      <w:pPr>
        <w:jc w:val="center"/>
        <w:rPr>
          <w:b/>
          <w:sz w:val="24"/>
          <w:szCs w:val="24"/>
        </w:rPr>
      </w:pPr>
    </w:p>
    <w:p w14:paraId="1BDFF34F" w14:textId="0265F96E" w:rsidR="00D64F0C" w:rsidRDefault="00000000">
      <w:pPr>
        <w:jc w:val="both"/>
        <w:rPr>
          <w:b/>
          <w:sz w:val="24"/>
          <w:szCs w:val="24"/>
        </w:rPr>
      </w:pPr>
      <w:r>
        <w:rPr>
          <w:b/>
          <w:sz w:val="24"/>
          <w:szCs w:val="24"/>
        </w:rPr>
        <w:t>Descripción del problema.</w:t>
      </w:r>
    </w:p>
    <w:p w14:paraId="7985E986" w14:textId="0247622D" w:rsidR="00D64F0C" w:rsidRDefault="00000000">
      <w:pPr>
        <w:jc w:val="both"/>
        <w:rPr>
          <w:sz w:val="24"/>
          <w:szCs w:val="24"/>
        </w:rPr>
      </w:pPr>
      <w:r>
        <w:rPr>
          <w:sz w:val="24"/>
          <w:szCs w:val="24"/>
        </w:rPr>
        <w:t xml:space="preserve">El hospital El Bochinche enfrenta un desafío crítico debido a la repentina afluencia de un gran número de pacientes con síntomas sospechosos de </w:t>
      </w:r>
      <w:r w:rsidR="00123D3D">
        <w:rPr>
          <w:sz w:val="24"/>
          <w:szCs w:val="24"/>
        </w:rPr>
        <w:t>T</w:t>
      </w:r>
      <w:r>
        <w:rPr>
          <w:sz w:val="24"/>
          <w:szCs w:val="24"/>
        </w:rPr>
        <w:t>uberculosis</w:t>
      </w:r>
      <w:r w:rsidR="00123D3D">
        <w:rPr>
          <w:sz w:val="24"/>
          <w:szCs w:val="24"/>
        </w:rPr>
        <w:t xml:space="preserve"> (TB)</w:t>
      </w:r>
      <w:r>
        <w:rPr>
          <w:sz w:val="24"/>
          <w:szCs w:val="24"/>
        </w:rPr>
        <w:t xml:space="preserve">. Esta avalancha de casos ha excedido la capacidad del hospital para realizar diagnósticos, ya que los especialistas disponibles tardan aproximadamente tres semanas en proporcionar resultados. El diagnóstico puede realizarse mediante exámenes de sangre, cuyos costos oscilan entre $50,000 y más de $100,000, o mediante análisis de rayos X, estos últimos con un costo de entre $30,000 y $50,000. Esta situación es particularmente preocupante, dado que los retrasos en el diagnóstico y tratamiento de la </w:t>
      </w:r>
      <w:r w:rsidR="00123D3D">
        <w:rPr>
          <w:sz w:val="24"/>
          <w:szCs w:val="24"/>
        </w:rPr>
        <w:t xml:space="preserve">TB </w:t>
      </w:r>
      <w:r>
        <w:rPr>
          <w:sz w:val="24"/>
          <w:szCs w:val="24"/>
        </w:rPr>
        <w:t>pueden resultar en un rápido deterioro de la salud de los pacientes. Además, estos retrasos no solo comprometen la salud y el bienestar de los pacientes, sino que también pueden generar costos adicionales para el hospital, como tratamientos más intensivos, hospitalizaciones prolongadas y la gestión de casos más avanzados y complicados de la enfermedad. Por lo tanto, el problema que se busca abordar es la demora en la obtención de resultados en los estudios de diagnóstico para la tuberculosis, así como la reducción de los costos asociados.</w:t>
      </w:r>
    </w:p>
    <w:p w14:paraId="215CB2FE" w14:textId="77777777" w:rsidR="00D64F0C" w:rsidRDefault="00D64F0C">
      <w:pPr>
        <w:jc w:val="both"/>
        <w:rPr>
          <w:sz w:val="24"/>
          <w:szCs w:val="24"/>
        </w:rPr>
      </w:pPr>
    </w:p>
    <w:p w14:paraId="7C4B70BE" w14:textId="77777777" w:rsidR="00D64F0C" w:rsidRDefault="00000000">
      <w:pPr>
        <w:jc w:val="both"/>
        <w:rPr>
          <w:b/>
          <w:sz w:val="24"/>
          <w:szCs w:val="24"/>
          <w:highlight w:val="white"/>
        </w:rPr>
      </w:pPr>
      <w:r>
        <w:rPr>
          <w:b/>
          <w:sz w:val="24"/>
          <w:szCs w:val="24"/>
          <w:highlight w:val="white"/>
        </w:rPr>
        <w:t>Problema analítico.</w:t>
      </w:r>
    </w:p>
    <w:p w14:paraId="75312B3F" w14:textId="774BE18E" w:rsidR="00D64F0C" w:rsidRDefault="00000000">
      <w:pPr>
        <w:jc w:val="both"/>
        <w:rPr>
          <w:b/>
          <w:sz w:val="24"/>
          <w:szCs w:val="24"/>
        </w:rPr>
      </w:pPr>
      <w:r>
        <w:rPr>
          <w:sz w:val="24"/>
          <w:szCs w:val="24"/>
          <w:highlight w:val="white"/>
        </w:rPr>
        <w:t xml:space="preserve">Crear un modelo entrenado para diagnosticar la </w:t>
      </w:r>
      <w:r w:rsidR="00123D3D">
        <w:rPr>
          <w:sz w:val="24"/>
          <w:szCs w:val="24"/>
          <w:highlight w:val="white"/>
        </w:rPr>
        <w:t xml:space="preserve">TB </w:t>
      </w:r>
      <w:r>
        <w:rPr>
          <w:sz w:val="24"/>
          <w:szCs w:val="24"/>
          <w:highlight w:val="white"/>
        </w:rPr>
        <w:t>que representa una herramienta crucial en la lucha contra esta enfermedad. Estos modelos permiten agilizar y mejorar la precisión de los diagnósticos, reduciendo la carga sobre los médicos especialistas y acelerando el inicio del tratamiento.</w:t>
      </w:r>
      <w:r w:rsidR="004024E4">
        <w:rPr>
          <w:sz w:val="24"/>
          <w:szCs w:val="24"/>
          <w:highlight w:val="white"/>
        </w:rPr>
        <w:t xml:space="preserve"> </w:t>
      </w:r>
      <w:r>
        <w:rPr>
          <w:sz w:val="24"/>
          <w:szCs w:val="24"/>
          <w:highlight w:val="white"/>
        </w:rPr>
        <w:t xml:space="preserve">Además, esta tecnología contribuye a optimizar los recursos y a hacer más eficiente el sistema de salud, facilitando así el acceso al diagnóstico y tratamiento oportuno para aquellos afectados por la </w:t>
      </w:r>
      <w:r w:rsidR="00123D3D">
        <w:rPr>
          <w:sz w:val="24"/>
          <w:szCs w:val="24"/>
          <w:highlight w:val="white"/>
        </w:rPr>
        <w:t>TB</w:t>
      </w:r>
      <w:r>
        <w:rPr>
          <w:sz w:val="24"/>
          <w:szCs w:val="24"/>
          <w:highlight w:val="white"/>
        </w:rPr>
        <w:t>.</w:t>
      </w:r>
    </w:p>
    <w:p w14:paraId="7A550466" w14:textId="77777777" w:rsidR="00D64F0C" w:rsidRDefault="00D64F0C">
      <w:pPr>
        <w:jc w:val="both"/>
        <w:rPr>
          <w:b/>
          <w:sz w:val="24"/>
          <w:szCs w:val="24"/>
        </w:rPr>
      </w:pPr>
      <w:bookmarkStart w:id="0" w:name="_heading=h.wa2vpzdfqmsr" w:colFirst="0" w:colLast="0"/>
      <w:bookmarkEnd w:id="0"/>
    </w:p>
    <w:p w14:paraId="0152684B" w14:textId="2244B3AE" w:rsidR="007A502D" w:rsidRDefault="00000000" w:rsidP="007A502D">
      <w:pPr>
        <w:jc w:val="both"/>
        <w:rPr>
          <w:b/>
          <w:sz w:val="24"/>
          <w:szCs w:val="24"/>
        </w:rPr>
      </w:pPr>
      <w:r>
        <w:rPr>
          <w:b/>
          <w:sz w:val="24"/>
          <w:szCs w:val="24"/>
          <w:highlight w:val="white"/>
        </w:rPr>
        <w:t>Diseño de la solución</w:t>
      </w:r>
      <w:bookmarkStart w:id="1" w:name="_heading=h.5z15a7cys7d3" w:colFirst="0" w:colLast="0"/>
      <w:bookmarkEnd w:id="1"/>
      <w:r w:rsidR="00342358">
        <w:rPr>
          <w:b/>
          <w:sz w:val="24"/>
          <w:szCs w:val="24"/>
        </w:rPr>
        <w:t>.</w:t>
      </w:r>
    </w:p>
    <w:p w14:paraId="44B563FB" w14:textId="77777777" w:rsidR="007A502D" w:rsidRDefault="007A502D" w:rsidP="007A502D">
      <w:pPr>
        <w:jc w:val="both"/>
        <w:rPr>
          <w:b/>
          <w:sz w:val="24"/>
          <w:szCs w:val="24"/>
        </w:rPr>
      </w:pPr>
      <w:r>
        <w:rPr>
          <w:sz w:val="24"/>
          <w:szCs w:val="24"/>
        </w:rPr>
        <w:t xml:space="preserve">1. </w:t>
      </w:r>
      <w:r w:rsidRPr="007A502D">
        <w:rPr>
          <w:sz w:val="24"/>
          <w:szCs w:val="24"/>
        </w:rPr>
        <w:t>Las radiografías de tórax de los pacientes se almacenan de forma segura en una carpeta dedicada en un servidor, identificadas con el número de documento del paciente.</w:t>
      </w:r>
    </w:p>
    <w:p w14:paraId="34A2A170" w14:textId="77777777" w:rsidR="007A502D" w:rsidRDefault="007A502D" w:rsidP="007A502D">
      <w:pPr>
        <w:jc w:val="both"/>
        <w:rPr>
          <w:sz w:val="24"/>
          <w:szCs w:val="24"/>
        </w:rPr>
      </w:pPr>
    </w:p>
    <w:p w14:paraId="501AA517" w14:textId="77777777" w:rsidR="007A502D" w:rsidRDefault="007A502D" w:rsidP="007A502D">
      <w:pPr>
        <w:jc w:val="both"/>
        <w:rPr>
          <w:b/>
          <w:sz w:val="24"/>
          <w:szCs w:val="24"/>
        </w:rPr>
      </w:pPr>
      <w:r w:rsidRPr="007A502D">
        <w:rPr>
          <w:sz w:val="24"/>
          <w:szCs w:val="24"/>
        </w:rPr>
        <w:t>2. Dos veces al día, a las 7:00 a. m. y a las 4:00 p. m., se ejecuta automáticamente un código que analiza las radiografías almacenadas. Este código emplea un modelo de aprendizaje automático previamente entrenado para predecir la presencia de signos de tuberculosis en las imágenes.</w:t>
      </w:r>
    </w:p>
    <w:p w14:paraId="356B5B09" w14:textId="77777777" w:rsidR="007A502D" w:rsidRDefault="007A502D" w:rsidP="007A502D">
      <w:pPr>
        <w:jc w:val="both"/>
        <w:rPr>
          <w:b/>
          <w:sz w:val="24"/>
          <w:szCs w:val="24"/>
        </w:rPr>
      </w:pPr>
    </w:p>
    <w:p w14:paraId="5E81EE1C" w14:textId="77777777" w:rsidR="007A502D" w:rsidRDefault="007A502D" w:rsidP="007A502D">
      <w:pPr>
        <w:jc w:val="both"/>
        <w:rPr>
          <w:b/>
          <w:sz w:val="24"/>
          <w:szCs w:val="24"/>
        </w:rPr>
      </w:pPr>
      <w:r w:rsidRPr="007A502D">
        <w:rPr>
          <w:bCs/>
          <w:sz w:val="24"/>
          <w:szCs w:val="24"/>
        </w:rPr>
        <w:t xml:space="preserve">3. </w:t>
      </w:r>
      <w:r w:rsidRPr="007A502D">
        <w:rPr>
          <w:sz w:val="24"/>
          <w:szCs w:val="24"/>
        </w:rPr>
        <w:t xml:space="preserve">Se establecen tres categorías de probabilidad para la predicción de tuberculosis: </w:t>
      </w:r>
    </w:p>
    <w:p w14:paraId="513F09A3" w14:textId="77777777" w:rsidR="007A502D" w:rsidRPr="007A502D" w:rsidRDefault="007A502D" w:rsidP="007A502D">
      <w:pPr>
        <w:pStyle w:val="Prrafodelista"/>
        <w:numPr>
          <w:ilvl w:val="0"/>
          <w:numId w:val="10"/>
        </w:numPr>
        <w:jc w:val="both"/>
        <w:rPr>
          <w:b/>
          <w:sz w:val="24"/>
          <w:szCs w:val="24"/>
          <w:highlight w:val="white"/>
        </w:rPr>
      </w:pPr>
      <w:r w:rsidRPr="007A502D">
        <w:rPr>
          <w:sz w:val="24"/>
          <w:szCs w:val="24"/>
        </w:rPr>
        <w:t>Si la probabilidad es mayor o igual al 60%, se considera que el paciente tiene tuberculosis y se le deriva directamente a un equipo de especialistas en enfermedades pulmonares para su atención.</w:t>
      </w:r>
    </w:p>
    <w:p w14:paraId="41AEE147" w14:textId="77777777" w:rsidR="007A502D" w:rsidRPr="007A502D" w:rsidRDefault="007A502D" w:rsidP="007A502D">
      <w:pPr>
        <w:pStyle w:val="Prrafodelista"/>
        <w:numPr>
          <w:ilvl w:val="0"/>
          <w:numId w:val="10"/>
        </w:numPr>
        <w:jc w:val="both"/>
        <w:rPr>
          <w:b/>
          <w:sz w:val="24"/>
          <w:szCs w:val="24"/>
          <w:highlight w:val="white"/>
        </w:rPr>
      </w:pPr>
      <w:r w:rsidRPr="007A502D">
        <w:rPr>
          <w:sz w:val="24"/>
          <w:szCs w:val="24"/>
        </w:rPr>
        <w:t xml:space="preserve">Si la probabilidad está entre el 30% y el 60%, el paciente se remite a un diagnóstico por parte del personal médico en un plazo de 5 días. Durante este periodo, se </w:t>
      </w:r>
      <w:r w:rsidRPr="007A502D">
        <w:rPr>
          <w:sz w:val="24"/>
          <w:szCs w:val="24"/>
        </w:rPr>
        <w:lastRenderedPageBreak/>
        <w:t>analiza la historia clínica del paciente y los resultados de otras pruebas para confirmar el diagnóstico y prescribir un tratamiento adecuado.</w:t>
      </w:r>
    </w:p>
    <w:p w14:paraId="78BFBACF" w14:textId="2377B030" w:rsidR="007A502D" w:rsidRPr="007A502D" w:rsidRDefault="007A502D" w:rsidP="007A502D">
      <w:pPr>
        <w:pStyle w:val="Prrafodelista"/>
        <w:numPr>
          <w:ilvl w:val="0"/>
          <w:numId w:val="10"/>
        </w:numPr>
        <w:jc w:val="both"/>
        <w:rPr>
          <w:b/>
          <w:sz w:val="24"/>
          <w:szCs w:val="24"/>
          <w:highlight w:val="white"/>
        </w:rPr>
      </w:pPr>
      <w:r w:rsidRPr="007A502D">
        <w:rPr>
          <w:sz w:val="24"/>
          <w:szCs w:val="24"/>
        </w:rPr>
        <w:t>Si la probabilidad es inferior al 30%, se considera que el paciente no tiene tuberculosis y se le proporcionan resultados normales.</w:t>
      </w:r>
    </w:p>
    <w:p w14:paraId="3817BCDA" w14:textId="77777777" w:rsidR="007A502D" w:rsidRDefault="007A502D" w:rsidP="007A502D">
      <w:pPr>
        <w:jc w:val="both"/>
        <w:rPr>
          <w:sz w:val="24"/>
          <w:szCs w:val="24"/>
        </w:rPr>
      </w:pPr>
    </w:p>
    <w:p w14:paraId="6D5B2DA5" w14:textId="674B956A" w:rsidR="00D64F0C" w:rsidRDefault="007A502D" w:rsidP="007A502D">
      <w:pPr>
        <w:jc w:val="both"/>
        <w:rPr>
          <w:sz w:val="24"/>
          <w:szCs w:val="24"/>
        </w:rPr>
      </w:pPr>
      <w:r>
        <w:rPr>
          <w:sz w:val="24"/>
          <w:szCs w:val="24"/>
        </w:rPr>
        <w:t xml:space="preserve">4. </w:t>
      </w:r>
      <w:r w:rsidRPr="007A502D">
        <w:rPr>
          <w:sz w:val="24"/>
          <w:szCs w:val="24"/>
        </w:rPr>
        <w:t>Diariamente, durante las primeras horas de la mañana, el modelo de aprendizaje automático se actualiza con la información de las radiografías revisadas por los especialistas. Esta actualización constante permite mejorar la precisión y eficiencia del modelo en la detección temprana de signos de tuberculosis.</w:t>
      </w:r>
    </w:p>
    <w:p w14:paraId="4B21AD20" w14:textId="77777777" w:rsidR="007A502D" w:rsidRDefault="007A502D" w:rsidP="007A502D">
      <w:pPr>
        <w:jc w:val="both"/>
        <w:rPr>
          <w:b/>
          <w:sz w:val="24"/>
          <w:szCs w:val="24"/>
        </w:rPr>
      </w:pPr>
    </w:p>
    <w:p w14:paraId="4C3334BE" w14:textId="1D1EB4D9" w:rsidR="00D64F0C" w:rsidRDefault="00000000">
      <w:pPr>
        <w:jc w:val="both"/>
        <w:rPr>
          <w:b/>
          <w:sz w:val="24"/>
          <w:szCs w:val="24"/>
          <w:highlight w:val="white"/>
        </w:rPr>
      </w:pPr>
      <w:r>
        <w:rPr>
          <w:b/>
          <w:sz w:val="24"/>
          <w:szCs w:val="24"/>
          <w:highlight w:val="white"/>
        </w:rPr>
        <w:t>Datos del modelo.</w:t>
      </w:r>
    </w:p>
    <w:tbl>
      <w:tblPr>
        <w:tblW w:w="5000" w:type="pct"/>
        <w:tblCellMar>
          <w:left w:w="70" w:type="dxa"/>
          <w:right w:w="70" w:type="dxa"/>
        </w:tblCellMar>
        <w:tblLook w:val="04A0" w:firstRow="1" w:lastRow="0" w:firstColumn="1" w:lastColumn="0" w:noHBand="0" w:noVBand="1"/>
      </w:tblPr>
      <w:tblGrid>
        <w:gridCol w:w="4743"/>
        <w:gridCol w:w="4743"/>
      </w:tblGrid>
      <w:tr w:rsidR="00836700" w:rsidRPr="00836700" w14:paraId="53F24B47" w14:textId="77777777" w:rsidTr="00836700">
        <w:trPr>
          <w:trHeight w:val="300"/>
        </w:trPr>
        <w:tc>
          <w:tcPr>
            <w:tcW w:w="2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9C45B43"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highlight w:val="white"/>
              </w:rPr>
              <w:t>Entrenamiento</w:t>
            </w:r>
          </w:p>
        </w:tc>
        <w:tc>
          <w:tcPr>
            <w:tcW w:w="250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CEE103F"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highlight w:val="white"/>
              </w:rPr>
              <w:t>Evaluación</w:t>
            </w:r>
          </w:p>
        </w:tc>
      </w:tr>
      <w:tr w:rsidR="00836700" w:rsidRPr="00836700" w14:paraId="25887E85" w14:textId="77777777" w:rsidTr="00836700">
        <w:trPr>
          <w:trHeight w:val="600"/>
        </w:trPr>
        <w:tc>
          <w:tcPr>
            <w:tcW w:w="2500" w:type="pct"/>
            <w:tcBorders>
              <w:top w:val="nil"/>
              <w:left w:val="single" w:sz="4" w:space="0" w:color="auto"/>
              <w:bottom w:val="single" w:sz="4" w:space="0" w:color="auto"/>
              <w:right w:val="single" w:sz="4" w:space="0" w:color="auto"/>
            </w:tcBorders>
            <w:shd w:val="clear" w:color="auto" w:fill="auto"/>
            <w:hideMark/>
          </w:tcPr>
          <w:p w14:paraId="113ECF84" w14:textId="77777777" w:rsidR="00836700" w:rsidRPr="00836700" w:rsidRDefault="00836700" w:rsidP="00836700">
            <w:pPr>
              <w:spacing w:line="240" w:lineRule="auto"/>
              <w:rPr>
                <w:rFonts w:ascii="Aptos Narrow" w:eastAsia="Times New Roman" w:hAnsi="Aptos Narrow" w:cs="Times New Roman"/>
                <w:color w:val="000000"/>
              </w:rPr>
            </w:pPr>
            <w:r w:rsidRPr="00836700">
              <w:rPr>
                <w:rFonts w:ascii="Aptos Narrow" w:eastAsia="Times New Roman" w:hAnsi="Aptos Narrow" w:cs="Times New Roman"/>
                <w:color w:val="000000"/>
                <w:highlight w:val="white"/>
              </w:rPr>
              <w:t>Normal: 2800 (84%) imágenes de radiografías -</w:t>
            </w:r>
            <w:proofErr w:type="spellStart"/>
            <w:r w:rsidRPr="00836700">
              <w:rPr>
                <w:rFonts w:ascii="Aptos Narrow" w:eastAsia="Times New Roman" w:hAnsi="Aptos Narrow" w:cs="Times New Roman"/>
                <w:color w:val="000000"/>
                <w:highlight w:val="white"/>
              </w:rPr>
              <w:t>train</w:t>
            </w:r>
            <w:proofErr w:type="spellEnd"/>
            <w:r w:rsidRPr="00836700">
              <w:rPr>
                <w:rFonts w:ascii="Aptos Narrow" w:eastAsia="Times New Roman" w:hAnsi="Aptos Narrow" w:cs="Times New Roman"/>
                <w:color w:val="000000"/>
                <w:highlight w:val="white"/>
              </w:rPr>
              <w:t>/Normal.</w:t>
            </w:r>
          </w:p>
        </w:tc>
        <w:tc>
          <w:tcPr>
            <w:tcW w:w="2500" w:type="pct"/>
            <w:tcBorders>
              <w:top w:val="nil"/>
              <w:left w:val="nil"/>
              <w:bottom w:val="single" w:sz="4" w:space="0" w:color="auto"/>
              <w:right w:val="single" w:sz="4" w:space="0" w:color="auto"/>
            </w:tcBorders>
            <w:shd w:val="clear" w:color="auto" w:fill="auto"/>
            <w:hideMark/>
          </w:tcPr>
          <w:p w14:paraId="31ABC3EF" w14:textId="77777777" w:rsidR="00836700" w:rsidRPr="00836700" w:rsidRDefault="00836700" w:rsidP="00836700">
            <w:pPr>
              <w:spacing w:line="240" w:lineRule="auto"/>
              <w:rPr>
                <w:rFonts w:ascii="Aptos Narrow" w:eastAsia="Times New Roman" w:hAnsi="Aptos Narrow" w:cs="Times New Roman"/>
                <w:color w:val="000000"/>
              </w:rPr>
            </w:pPr>
            <w:r w:rsidRPr="00836700">
              <w:rPr>
                <w:rFonts w:ascii="Aptos Narrow" w:eastAsia="Times New Roman" w:hAnsi="Aptos Narrow" w:cs="Times New Roman"/>
                <w:color w:val="000000"/>
                <w:highlight w:val="white"/>
              </w:rPr>
              <w:t>Normal: 700 (16%) imágenes de radiografías -test/Normal.</w:t>
            </w:r>
          </w:p>
        </w:tc>
      </w:tr>
      <w:tr w:rsidR="00836700" w:rsidRPr="00836700" w14:paraId="03BD6B69" w14:textId="77777777" w:rsidTr="00836700">
        <w:trPr>
          <w:trHeight w:val="562"/>
        </w:trPr>
        <w:tc>
          <w:tcPr>
            <w:tcW w:w="2500" w:type="pct"/>
            <w:tcBorders>
              <w:top w:val="nil"/>
              <w:left w:val="single" w:sz="4" w:space="0" w:color="auto"/>
              <w:bottom w:val="single" w:sz="4" w:space="0" w:color="auto"/>
              <w:right w:val="single" w:sz="4" w:space="0" w:color="auto"/>
            </w:tcBorders>
            <w:shd w:val="clear" w:color="auto" w:fill="auto"/>
            <w:hideMark/>
          </w:tcPr>
          <w:p w14:paraId="006A6DDE" w14:textId="49A91518" w:rsidR="00836700" w:rsidRPr="00836700" w:rsidRDefault="00836700" w:rsidP="00836700">
            <w:pPr>
              <w:spacing w:line="240" w:lineRule="auto"/>
              <w:rPr>
                <w:rFonts w:ascii="Aptos Narrow" w:eastAsia="Times New Roman" w:hAnsi="Aptos Narrow" w:cs="Times New Roman"/>
                <w:color w:val="000000"/>
              </w:rPr>
            </w:pPr>
            <w:r w:rsidRPr="00836700">
              <w:rPr>
                <w:rFonts w:ascii="Aptos Narrow" w:eastAsia="Times New Roman" w:hAnsi="Aptos Narrow" w:cs="Times New Roman"/>
                <w:color w:val="000000"/>
                <w:highlight w:val="white"/>
              </w:rPr>
              <w:t>Tuberculosis: 560 (16%) imágenes de radiografías con tuberculosis -</w:t>
            </w:r>
            <w:proofErr w:type="spellStart"/>
            <w:r w:rsidRPr="00836700">
              <w:rPr>
                <w:rFonts w:ascii="Aptos Narrow" w:eastAsia="Times New Roman" w:hAnsi="Aptos Narrow" w:cs="Times New Roman"/>
                <w:color w:val="000000"/>
                <w:highlight w:val="white"/>
              </w:rPr>
              <w:t>train</w:t>
            </w:r>
            <w:proofErr w:type="spellEnd"/>
            <w:r w:rsidRPr="00836700">
              <w:rPr>
                <w:rFonts w:ascii="Aptos Narrow" w:eastAsia="Times New Roman" w:hAnsi="Aptos Narrow" w:cs="Times New Roman"/>
                <w:color w:val="000000"/>
                <w:highlight w:val="white"/>
              </w:rPr>
              <w:t>/</w:t>
            </w:r>
            <w:r>
              <w:rPr>
                <w:rFonts w:ascii="Aptos Narrow" w:eastAsia="Times New Roman" w:hAnsi="Aptos Narrow" w:cs="Times New Roman"/>
                <w:color w:val="000000"/>
                <w:highlight w:val="white"/>
              </w:rPr>
              <w:t>T</w:t>
            </w:r>
            <w:r w:rsidRPr="00836700">
              <w:rPr>
                <w:rFonts w:ascii="Aptos Narrow" w:eastAsia="Times New Roman" w:hAnsi="Aptos Narrow" w:cs="Times New Roman"/>
                <w:color w:val="000000"/>
                <w:highlight w:val="white"/>
              </w:rPr>
              <w:t>uberculosis.</w:t>
            </w:r>
          </w:p>
        </w:tc>
        <w:tc>
          <w:tcPr>
            <w:tcW w:w="2500" w:type="pct"/>
            <w:tcBorders>
              <w:top w:val="nil"/>
              <w:left w:val="nil"/>
              <w:bottom w:val="single" w:sz="4" w:space="0" w:color="auto"/>
              <w:right w:val="single" w:sz="4" w:space="0" w:color="auto"/>
            </w:tcBorders>
            <w:shd w:val="clear" w:color="auto" w:fill="auto"/>
            <w:hideMark/>
          </w:tcPr>
          <w:p w14:paraId="0E057DF2" w14:textId="75857D9C" w:rsidR="00836700" w:rsidRPr="00836700" w:rsidRDefault="00836700" w:rsidP="00836700">
            <w:pPr>
              <w:spacing w:line="240" w:lineRule="auto"/>
              <w:rPr>
                <w:rFonts w:ascii="Aptos Narrow" w:eastAsia="Times New Roman" w:hAnsi="Aptos Narrow" w:cs="Times New Roman"/>
                <w:color w:val="000000"/>
              </w:rPr>
            </w:pPr>
            <w:r w:rsidRPr="00836700">
              <w:rPr>
                <w:rFonts w:ascii="Aptos Narrow" w:eastAsia="Times New Roman" w:hAnsi="Aptos Narrow" w:cs="Times New Roman"/>
                <w:color w:val="000000"/>
                <w:highlight w:val="white"/>
              </w:rPr>
              <w:t>Tuberculosis: 140 (84%) imágenes de radiografías con tuberculosis -test/Tuberculosis.</w:t>
            </w:r>
          </w:p>
        </w:tc>
      </w:tr>
    </w:tbl>
    <w:p w14:paraId="30AC6918" w14:textId="77777777" w:rsidR="00D64F0C" w:rsidRDefault="00D64F0C">
      <w:pPr>
        <w:jc w:val="both"/>
        <w:rPr>
          <w:b/>
          <w:sz w:val="24"/>
          <w:szCs w:val="24"/>
          <w:highlight w:val="white"/>
        </w:rPr>
      </w:pPr>
    </w:p>
    <w:p w14:paraId="2272E682" w14:textId="6933EE07" w:rsidR="003025B7" w:rsidRDefault="00F449EF">
      <w:pPr>
        <w:jc w:val="both"/>
        <w:rPr>
          <w:b/>
          <w:sz w:val="24"/>
          <w:szCs w:val="24"/>
          <w:highlight w:val="white"/>
        </w:rPr>
      </w:pPr>
      <w:r>
        <w:rPr>
          <w:b/>
          <w:sz w:val="24"/>
          <w:szCs w:val="24"/>
          <w:highlight w:val="white"/>
        </w:rPr>
        <w:t>Selección de variables</w:t>
      </w:r>
      <w:r w:rsidR="00342358">
        <w:rPr>
          <w:b/>
          <w:sz w:val="24"/>
          <w:szCs w:val="24"/>
          <w:highlight w:val="white"/>
        </w:rPr>
        <w:t>.</w:t>
      </w:r>
    </w:p>
    <w:p w14:paraId="721226FC" w14:textId="77777777" w:rsidR="003025B7" w:rsidRDefault="003025B7" w:rsidP="003025B7">
      <w:pPr>
        <w:jc w:val="both"/>
        <w:rPr>
          <w:bCs/>
          <w:sz w:val="24"/>
          <w:szCs w:val="24"/>
        </w:rPr>
      </w:pPr>
      <w:bookmarkStart w:id="2" w:name="_heading=h.133mesa9n5u8" w:colFirst="0" w:colLast="0"/>
      <w:bookmarkEnd w:id="2"/>
      <w:r w:rsidRPr="002749F5">
        <w:rPr>
          <w:bCs/>
          <w:sz w:val="24"/>
          <w:szCs w:val="24"/>
        </w:rPr>
        <w:t xml:space="preserve">En el trabajo con imágenes, no es posible seleccionar variables directamente, pero se puede analizar la resolución de la imagen. En nuestro caso, las imágenes tenían una resolución inicial de 512 píxeles, sin embargo, con el objetivo de reducir las dimensiones y simplificar el modelo, decidimos reducir la resolución a 100 píxeles. Aunque no investigamos cómo esta reducción de resolución afectaba el comportamiento del modelo, observamos que, </w:t>
      </w:r>
      <w:r>
        <w:rPr>
          <w:bCs/>
          <w:sz w:val="24"/>
          <w:szCs w:val="24"/>
        </w:rPr>
        <w:t>al</w:t>
      </w:r>
      <w:r w:rsidRPr="002749F5">
        <w:rPr>
          <w:bCs/>
          <w:sz w:val="24"/>
          <w:szCs w:val="24"/>
        </w:rPr>
        <w:t xml:space="preserve"> reducir la dimensionalidad, el modelo</w:t>
      </w:r>
      <w:r>
        <w:rPr>
          <w:bCs/>
          <w:sz w:val="24"/>
          <w:szCs w:val="24"/>
        </w:rPr>
        <w:t xml:space="preserve"> no comprometió</w:t>
      </w:r>
      <w:r w:rsidRPr="002749F5">
        <w:rPr>
          <w:bCs/>
          <w:sz w:val="24"/>
          <w:szCs w:val="24"/>
        </w:rPr>
        <w:t xml:space="preserve"> su rendimiento. De hecho, con estas dimensiones reducidas, el rendimiento del modelo seguía siendo muy bueno.</w:t>
      </w:r>
      <w:bookmarkStart w:id="3" w:name="_heading=h.17dp8vu" w:colFirst="0" w:colLast="0"/>
      <w:bookmarkEnd w:id="3"/>
    </w:p>
    <w:p w14:paraId="534DEE04" w14:textId="77777777" w:rsidR="003025B7" w:rsidRDefault="003025B7">
      <w:pPr>
        <w:jc w:val="both"/>
        <w:rPr>
          <w:b/>
          <w:sz w:val="24"/>
          <w:szCs w:val="24"/>
          <w:highlight w:val="white"/>
        </w:rPr>
      </w:pPr>
    </w:p>
    <w:p w14:paraId="5979F3EC" w14:textId="0334FCDA" w:rsidR="00F449EF" w:rsidRPr="00123D3D" w:rsidRDefault="00F449EF" w:rsidP="00F449EF">
      <w:pPr>
        <w:jc w:val="both"/>
        <w:rPr>
          <w:b/>
          <w:sz w:val="24"/>
          <w:szCs w:val="24"/>
        </w:rPr>
      </w:pPr>
      <w:r w:rsidRPr="00123D3D">
        <w:rPr>
          <w:b/>
          <w:sz w:val="24"/>
          <w:szCs w:val="24"/>
        </w:rPr>
        <w:t>Selección de métricas</w:t>
      </w:r>
      <w:r w:rsidR="00342358">
        <w:rPr>
          <w:b/>
          <w:sz w:val="24"/>
          <w:szCs w:val="24"/>
        </w:rPr>
        <w:t>.</w:t>
      </w:r>
    </w:p>
    <w:p w14:paraId="368F834B" w14:textId="77777777" w:rsidR="00F449EF" w:rsidRPr="00123D3D" w:rsidRDefault="00F449EF" w:rsidP="00F449EF">
      <w:pPr>
        <w:jc w:val="both"/>
        <w:rPr>
          <w:bCs/>
          <w:sz w:val="24"/>
          <w:szCs w:val="24"/>
        </w:rPr>
      </w:pPr>
      <w:r w:rsidRPr="00123D3D">
        <w:rPr>
          <w:bCs/>
          <w:sz w:val="24"/>
          <w:szCs w:val="24"/>
        </w:rPr>
        <w:t xml:space="preserve">Es fundamental encontrar un equilibrio entre la identificación precisa de los pacientes con </w:t>
      </w:r>
      <w:r>
        <w:rPr>
          <w:bCs/>
          <w:sz w:val="24"/>
          <w:szCs w:val="24"/>
        </w:rPr>
        <w:t>TB</w:t>
      </w:r>
      <w:r w:rsidRPr="00123D3D">
        <w:rPr>
          <w:bCs/>
          <w:sz w:val="24"/>
          <w:szCs w:val="24"/>
        </w:rPr>
        <w:t xml:space="preserve"> y la minimización de los casos positivos incorrectos para garantizar la eficacia de un modelo de diagnóstico. La clasificación incorrecta de muchos pacientes como negativos cuando realmente tienen </w:t>
      </w:r>
      <w:r>
        <w:rPr>
          <w:bCs/>
          <w:sz w:val="24"/>
          <w:szCs w:val="24"/>
        </w:rPr>
        <w:t>TB</w:t>
      </w:r>
      <w:r w:rsidRPr="00123D3D">
        <w:rPr>
          <w:bCs/>
          <w:sz w:val="24"/>
          <w:szCs w:val="24"/>
        </w:rPr>
        <w:t xml:space="preserve"> (falsos negativos) puede llevar a tratamientos inadecuados o la ausencia de tratamiento, con consecuencias graves para la salud del paciente y aumentando los costos a largo plazo. Por otro lado, clasificar incorrectamente a muchos pacientes como positivos cuando no tienen </w:t>
      </w:r>
      <w:r>
        <w:rPr>
          <w:bCs/>
          <w:sz w:val="24"/>
          <w:szCs w:val="24"/>
        </w:rPr>
        <w:t>TB</w:t>
      </w:r>
      <w:r w:rsidRPr="00123D3D">
        <w:rPr>
          <w:bCs/>
          <w:sz w:val="24"/>
          <w:szCs w:val="24"/>
        </w:rPr>
        <w:t xml:space="preserve"> (falsos positivos) puede resultar en gastos innecesarios en pruebas adicionales o tratamientos, y aumentar la carga sobre el sistema de salud.</w:t>
      </w:r>
    </w:p>
    <w:p w14:paraId="3AACB6ED" w14:textId="77777777" w:rsidR="00F449EF" w:rsidRPr="00123D3D" w:rsidRDefault="00F449EF" w:rsidP="00F449EF">
      <w:pPr>
        <w:jc w:val="both"/>
        <w:rPr>
          <w:bCs/>
          <w:sz w:val="24"/>
          <w:szCs w:val="24"/>
        </w:rPr>
      </w:pPr>
    </w:p>
    <w:p w14:paraId="0EF28468" w14:textId="77777777" w:rsidR="00F449EF" w:rsidRDefault="00F449EF" w:rsidP="00F449EF">
      <w:pPr>
        <w:jc w:val="both"/>
        <w:rPr>
          <w:bCs/>
          <w:sz w:val="24"/>
          <w:szCs w:val="24"/>
        </w:rPr>
      </w:pPr>
      <w:r w:rsidRPr="00123D3D">
        <w:rPr>
          <w:bCs/>
          <w:sz w:val="24"/>
          <w:szCs w:val="24"/>
        </w:rPr>
        <w:t xml:space="preserve">El Área bajo la Curva (AUC), al evaluar la capacidad del modelo para distinguir entre pacientes con </w:t>
      </w:r>
      <w:r>
        <w:rPr>
          <w:bCs/>
          <w:sz w:val="24"/>
          <w:szCs w:val="24"/>
        </w:rPr>
        <w:t xml:space="preserve">TB </w:t>
      </w:r>
      <w:r w:rsidRPr="00123D3D">
        <w:rPr>
          <w:bCs/>
          <w:sz w:val="24"/>
          <w:szCs w:val="24"/>
        </w:rPr>
        <w:t xml:space="preserve">y aquellos sin ella, contribuye a encontrar un equilibrio entre estos dos escenarios. Un AUC más alto indica que el modelo es más efectivo para discriminar entre casos positivos y negativos, lo que sugiere que se están minimizando tanto los falsos positivos como los falsos negativos. En otras palabras, un AUC alto indica que el modelo clasifica correctamente a la mayoría de los pacientes con </w:t>
      </w:r>
      <w:r>
        <w:rPr>
          <w:bCs/>
          <w:sz w:val="24"/>
          <w:szCs w:val="24"/>
        </w:rPr>
        <w:t>TB</w:t>
      </w:r>
      <w:r w:rsidRPr="00123D3D">
        <w:rPr>
          <w:bCs/>
          <w:sz w:val="24"/>
          <w:szCs w:val="24"/>
        </w:rPr>
        <w:t xml:space="preserve"> como positivos y a la mayoría </w:t>
      </w:r>
      <w:r w:rsidRPr="00123D3D">
        <w:rPr>
          <w:bCs/>
          <w:sz w:val="24"/>
          <w:szCs w:val="24"/>
        </w:rPr>
        <w:lastRenderedPageBreak/>
        <w:t xml:space="preserve">de los pacientes sin </w:t>
      </w:r>
      <w:r>
        <w:rPr>
          <w:bCs/>
          <w:sz w:val="24"/>
          <w:szCs w:val="24"/>
        </w:rPr>
        <w:t>TB</w:t>
      </w:r>
      <w:r w:rsidRPr="00123D3D">
        <w:rPr>
          <w:bCs/>
          <w:sz w:val="24"/>
          <w:szCs w:val="24"/>
        </w:rPr>
        <w:t xml:space="preserve"> como negativos, reduciendo tanto los costos como los riesgos asociados con un diagnóstico incorrecto</w:t>
      </w:r>
      <w:r>
        <w:rPr>
          <w:bCs/>
          <w:sz w:val="24"/>
          <w:szCs w:val="24"/>
        </w:rPr>
        <w:t>.</w:t>
      </w:r>
    </w:p>
    <w:p w14:paraId="4990F7A9" w14:textId="77777777" w:rsidR="00F449EF" w:rsidRDefault="00F449EF">
      <w:pPr>
        <w:jc w:val="both"/>
        <w:rPr>
          <w:b/>
          <w:sz w:val="24"/>
          <w:szCs w:val="24"/>
          <w:highlight w:val="white"/>
        </w:rPr>
      </w:pPr>
    </w:p>
    <w:p w14:paraId="1DC038CC" w14:textId="5F386344" w:rsidR="004024E4" w:rsidRPr="004024E4" w:rsidRDefault="004024E4" w:rsidP="004024E4">
      <w:pPr>
        <w:jc w:val="both"/>
        <w:rPr>
          <w:b/>
          <w:sz w:val="24"/>
          <w:szCs w:val="24"/>
        </w:rPr>
      </w:pPr>
      <w:r w:rsidRPr="004024E4">
        <w:rPr>
          <w:b/>
          <w:sz w:val="24"/>
          <w:szCs w:val="24"/>
        </w:rPr>
        <w:t>Selección de algoritmos y técnicas</w:t>
      </w:r>
      <w:r w:rsidR="00342358">
        <w:rPr>
          <w:b/>
          <w:sz w:val="24"/>
          <w:szCs w:val="24"/>
        </w:rPr>
        <w:t>.</w:t>
      </w:r>
    </w:p>
    <w:p w14:paraId="4949F346" w14:textId="01C4D1C0" w:rsidR="003E48D7" w:rsidRDefault="003E48D7" w:rsidP="003E48D7">
      <w:pPr>
        <w:jc w:val="both"/>
        <w:rPr>
          <w:bCs/>
          <w:sz w:val="24"/>
          <w:szCs w:val="24"/>
        </w:rPr>
      </w:pPr>
      <w:r w:rsidRPr="003E48D7">
        <w:rPr>
          <w:bCs/>
          <w:sz w:val="24"/>
          <w:szCs w:val="24"/>
        </w:rPr>
        <w:t xml:space="preserve">Para abordar este problema, se han elegido las redes neuronales estándar y las redes neuronales convolucionales. Estas redes poseen la capacidad de aprender representaciones complejas de los datos. En el caso de las imágenes radiográficas, estas representaciones pueden incluir características sutiles y variadas que son indicativas de la presencia de </w:t>
      </w:r>
      <w:r w:rsidR="00123D3D">
        <w:rPr>
          <w:bCs/>
          <w:sz w:val="24"/>
          <w:szCs w:val="24"/>
        </w:rPr>
        <w:t>TB</w:t>
      </w:r>
      <w:r w:rsidRPr="003E48D7">
        <w:rPr>
          <w:bCs/>
          <w:sz w:val="24"/>
          <w:szCs w:val="24"/>
        </w:rPr>
        <w:t xml:space="preserve">, tales como opacidades, cavidades y consolidaciones, entre otras. Además, son altamente flexibles y escalables, lo que significa que pueden adaptarse a diferentes conjuntos de datos y problemas. Su rendimiento tiende a mejorar con conjuntos de datos más grandes, lo cual es beneficioso para el desarrollo de modelos precisos de detección de </w:t>
      </w:r>
      <w:r w:rsidR="00123D3D">
        <w:rPr>
          <w:bCs/>
          <w:sz w:val="24"/>
          <w:szCs w:val="24"/>
        </w:rPr>
        <w:t>TB</w:t>
      </w:r>
      <w:r w:rsidRPr="003E48D7">
        <w:rPr>
          <w:bCs/>
          <w:sz w:val="24"/>
          <w:szCs w:val="24"/>
        </w:rPr>
        <w:t>.</w:t>
      </w:r>
    </w:p>
    <w:p w14:paraId="4F131639" w14:textId="77777777" w:rsidR="00CC0816" w:rsidRPr="00CC0816" w:rsidRDefault="00CC0816" w:rsidP="002749F5">
      <w:pPr>
        <w:jc w:val="both"/>
        <w:rPr>
          <w:bCs/>
          <w:sz w:val="24"/>
          <w:szCs w:val="24"/>
          <w:highlight w:val="white"/>
        </w:rPr>
      </w:pPr>
    </w:p>
    <w:p w14:paraId="11EC1F36" w14:textId="22A61D26" w:rsidR="003025B7" w:rsidRDefault="002749F5" w:rsidP="002749F5">
      <w:pPr>
        <w:jc w:val="both"/>
      </w:pPr>
      <w:r w:rsidRPr="00CC0816">
        <w:rPr>
          <w:b/>
          <w:sz w:val="24"/>
          <w:szCs w:val="24"/>
        </w:rPr>
        <w:t>Comparación y selección de técnicas</w:t>
      </w:r>
      <w:r w:rsidR="00342358">
        <w:rPr>
          <w:b/>
          <w:sz w:val="24"/>
          <w:szCs w:val="24"/>
        </w:rPr>
        <w:t>.</w:t>
      </w:r>
      <w:r w:rsidR="003025B7">
        <w:fldChar w:fldCharType="begin"/>
      </w:r>
      <w:r w:rsidR="003025B7">
        <w:instrText xml:space="preserve"> LINK Excel.Sheet.12 "Libro1" "Hoja2!F13C2:F19C6" \a \f 4 \h  \* MERGEFORMAT </w:instrText>
      </w:r>
      <w:r w:rsidR="003025B7">
        <w:fldChar w:fldCharType="separate"/>
      </w:r>
    </w:p>
    <w:tbl>
      <w:tblPr>
        <w:tblW w:w="0" w:type="auto"/>
        <w:jc w:val="center"/>
        <w:tblCellMar>
          <w:left w:w="70" w:type="dxa"/>
          <w:right w:w="70" w:type="dxa"/>
        </w:tblCellMar>
        <w:tblLook w:val="04A0" w:firstRow="1" w:lastRow="0" w:firstColumn="1" w:lastColumn="0" w:noHBand="0" w:noVBand="1"/>
      </w:tblPr>
      <w:tblGrid>
        <w:gridCol w:w="1523"/>
        <w:gridCol w:w="1738"/>
        <w:gridCol w:w="1738"/>
        <w:gridCol w:w="1551"/>
        <w:gridCol w:w="1551"/>
      </w:tblGrid>
      <w:tr w:rsidR="003025B7" w:rsidRPr="003025B7" w14:paraId="34259461" w14:textId="77777777" w:rsidTr="003025B7">
        <w:trPr>
          <w:trHeight w:val="600"/>
          <w:jc w:val="center"/>
        </w:trPr>
        <w:tc>
          <w:tcPr>
            <w:tcW w:w="1523" w:type="dxa"/>
            <w:tcBorders>
              <w:top w:val="nil"/>
              <w:left w:val="nil"/>
              <w:bottom w:val="nil"/>
              <w:right w:val="nil"/>
            </w:tcBorders>
            <w:shd w:val="clear" w:color="auto" w:fill="auto"/>
            <w:noWrap/>
            <w:vAlign w:val="center"/>
            <w:hideMark/>
          </w:tcPr>
          <w:p w14:paraId="64896BE1" w14:textId="7C4F869D" w:rsidR="003025B7" w:rsidRPr="003025B7" w:rsidRDefault="003025B7" w:rsidP="003025B7">
            <w:pPr>
              <w:spacing w:line="240" w:lineRule="auto"/>
              <w:jc w:val="center"/>
              <w:rPr>
                <w:rFonts w:ascii="Times New Roman" w:eastAsia="Times New Roman" w:hAnsi="Times New Roman" w:cs="Times New Roman"/>
                <w:sz w:val="24"/>
                <w:szCs w:val="24"/>
              </w:rPr>
            </w:pPr>
          </w:p>
        </w:tc>
        <w:tc>
          <w:tcPr>
            <w:tcW w:w="0" w:type="auto"/>
            <w:gridSpan w:val="2"/>
            <w:tcBorders>
              <w:top w:val="single" w:sz="4" w:space="0" w:color="auto"/>
              <w:left w:val="single" w:sz="4" w:space="0" w:color="auto"/>
              <w:bottom w:val="single" w:sz="4" w:space="0" w:color="auto"/>
              <w:right w:val="single" w:sz="4" w:space="0" w:color="000000"/>
            </w:tcBorders>
            <w:shd w:val="clear" w:color="000000" w:fill="F2F2F2"/>
            <w:vAlign w:val="center"/>
            <w:hideMark/>
          </w:tcPr>
          <w:p w14:paraId="06FC94B2" w14:textId="17782E58"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 xml:space="preserve">Red neuronal estándar - </w:t>
            </w:r>
            <w:proofErr w:type="spellStart"/>
            <w:r w:rsidRPr="003025B7">
              <w:rPr>
                <w:rFonts w:ascii="Aptos Narrow" w:eastAsia="Times New Roman" w:hAnsi="Aptos Narrow" w:cs="Times New Roman"/>
                <w:b/>
                <w:bCs/>
                <w:color w:val="000000"/>
              </w:rPr>
              <w:t>Epoch</w:t>
            </w:r>
            <w:proofErr w:type="spellEnd"/>
            <w:r w:rsidRPr="003025B7">
              <w:rPr>
                <w:rFonts w:ascii="Aptos Narrow" w:eastAsia="Times New Roman" w:hAnsi="Aptos Narrow" w:cs="Times New Roman"/>
                <w:b/>
                <w:bCs/>
                <w:color w:val="000000"/>
              </w:rPr>
              <w:t xml:space="preserve"> 10/10</w:t>
            </w:r>
          </w:p>
        </w:tc>
        <w:tc>
          <w:tcPr>
            <w:tcW w:w="0" w:type="auto"/>
            <w:gridSpan w:val="2"/>
            <w:tcBorders>
              <w:top w:val="single" w:sz="4" w:space="0" w:color="auto"/>
              <w:left w:val="nil"/>
              <w:bottom w:val="single" w:sz="4" w:space="0" w:color="auto"/>
              <w:right w:val="single" w:sz="4" w:space="0" w:color="000000"/>
            </w:tcBorders>
            <w:shd w:val="clear" w:color="000000" w:fill="F2F2F2"/>
            <w:vAlign w:val="center"/>
            <w:hideMark/>
          </w:tcPr>
          <w:p w14:paraId="22E1311B" w14:textId="04E827C5"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 xml:space="preserve">Red convolucional - </w:t>
            </w:r>
            <w:proofErr w:type="spellStart"/>
            <w:r w:rsidRPr="003025B7">
              <w:rPr>
                <w:rFonts w:ascii="Aptos Narrow" w:eastAsia="Times New Roman" w:hAnsi="Aptos Narrow" w:cs="Times New Roman"/>
                <w:b/>
                <w:bCs/>
                <w:color w:val="000000"/>
              </w:rPr>
              <w:t>Epoch</w:t>
            </w:r>
            <w:proofErr w:type="spellEnd"/>
            <w:r w:rsidRPr="003025B7">
              <w:rPr>
                <w:rFonts w:ascii="Aptos Narrow" w:eastAsia="Times New Roman" w:hAnsi="Aptos Narrow" w:cs="Times New Roman"/>
                <w:b/>
                <w:bCs/>
                <w:color w:val="000000"/>
              </w:rPr>
              <w:t xml:space="preserve"> 10/10</w:t>
            </w:r>
          </w:p>
        </w:tc>
      </w:tr>
      <w:tr w:rsidR="003025B7" w:rsidRPr="003025B7" w14:paraId="40271C0E" w14:textId="77777777" w:rsidTr="003025B7">
        <w:trPr>
          <w:trHeight w:val="300"/>
          <w:jc w:val="center"/>
        </w:trPr>
        <w:tc>
          <w:tcPr>
            <w:tcW w:w="152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0BA103A" w14:textId="1717BE39"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Métrica</w:t>
            </w:r>
          </w:p>
        </w:tc>
        <w:tc>
          <w:tcPr>
            <w:tcW w:w="0" w:type="auto"/>
            <w:tcBorders>
              <w:top w:val="nil"/>
              <w:left w:val="nil"/>
              <w:bottom w:val="single" w:sz="4" w:space="0" w:color="auto"/>
              <w:right w:val="single" w:sz="4" w:space="0" w:color="auto"/>
            </w:tcBorders>
            <w:shd w:val="clear" w:color="000000" w:fill="F2F2F2"/>
            <w:noWrap/>
            <w:vAlign w:val="center"/>
            <w:hideMark/>
          </w:tcPr>
          <w:p w14:paraId="1D0D4362" w14:textId="4F17AA10"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Train</w:t>
            </w:r>
          </w:p>
        </w:tc>
        <w:tc>
          <w:tcPr>
            <w:tcW w:w="0" w:type="auto"/>
            <w:tcBorders>
              <w:top w:val="nil"/>
              <w:left w:val="nil"/>
              <w:bottom w:val="single" w:sz="4" w:space="0" w:color="auto"/>
              <w:right w:val="single" w:sz="4" w:space="0" w:color="auto"/>
            </w:tcBorders>
            <w:shd w:val="clear" w:color="000000" w:fill="F2F2F2"/>
            <w:noWrap/>
            <w:vAlign w:val="center"/>
            <w:hideMark/>
          </w:tcPr>
          <w:p w14:paraId="20DED6ED" w14:textId="77777777"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Test</w:t>
            </w:r>
          </w:p>
        </w:tc>
        <w:tc>
          <w:tcPr>
            <w:tcW w:w="0" w:type="auto"/>
            <w:tcBorders>
              <w:top w:val="nil"/>
              <w:left w:val="nil"/>
              <w:bottom w:val="single" w:sz="4" w:space="0" w:color="auto"/>
              <w:right w:val="single" w:sz="4" w:space="0" w:color="auto"/>
            </w:tcBorders>
            <w:shd w:val="clear" w:color="000000" w:fill="F2F2F2"/>
            <w:noWrap/>
            <w:vAlign w:val="center"/>
            <w:hideMark/>
          </w:tcPr>
          <w:p w14:paraId="1FE81126" w14:textId="59E41A27"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Train</w:t>
            </w:r>
          </w:p>
        </w:tc>
        <w:tc>
          <w:tcPr>
            <w:tcW w:w="0" w:type="auto"/>
            <w:tcBorders>
              <w:top w:val="nil"/>
              <w:left w:val="nil"/>
              <w:bottom w:val="single" w:sz="4" w:space="0" w:color="auto"/>
              <w:right w:val="single" w:sz="4" w:space="0" w:color="auto"/>
            </w:tcBorders>
            <w:shd w:val="clear" w:color="000000" w:fill="F2F2F2"/>
            <w:noWrap/>
            <w:vAlign w:val="center"/>
            <w:hideMark/>
          </w:tcPr>
          <w:p w14:paraId="24E6AA7C" w14:textId="77777777" w:rsidR="003025B7" w:rsidRPr="003025B7" w:rsidRDefault="003025B7" w:rsidP="003025B7">
            <w:pPr>
              <w:spacing w:line="240" w:lineRule="auto"/>
              <w:jc w:val="center"/>
              <w:rPr>
                <w:rFonts w:ascii="Aptos Narrow" w:eastAsia="Times New Roman" w:hAnsi="Aptos Narrow" w:cs="Times New Roman"/>
                <w:b/>
                <w:bCs/>
                <w:color w:val="000000"/>
              </w:rPr>
            </w:pPr>
            <w:r w:rsidRPr="003025B7">
              <w:rPr>
                <w:rFonts w:ascii="Aptos Narrow" w:eastAsia="Times New Roman" w:hAnsi="Aptos Narrow" w:cs="Times New Roman"/>
                <w:b/>
                <w:bCs/>
                <w:color w:val="000000"/>
              </w:rPr>
              <w:t>Test</w:t>
            </w:r>
          </w:p>
        </w:tc>
      </w:tr>
      <w:tr w:rsidR="003025B7" w:rsidRPr="003025B7" w14:paraId="68C59379" w14:textId="77777777" w:rsidTr="003025B7">
        <w:trPr>
          <w:trHeight w:val="300"/>
          <w:jc w:val="center"/>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376C2A17" w14:textId="77777777" w:rsidR="003025B7" w:rsidRPr="003025B7" w:rsidRDefault="003025B7" w:rsidP="003025B7">
            <w:pPr>
              <w:spacing w:line="240" w:lineRule="auto"/>
              <w:jc w:val="center"/>
              <w:rPr>
                <w:rFonts w:ascii="Aptos Narrow" w:eastAsia="Times New Roman" w:hAnsi="Aptos Narrow" w:cs="Times New Roman"/>
                <w:color w:val="000000"/>
              </w:rPr>
            </w:pPr>
            <w:proofErr w:type="spellStart"/>
            <w:r w:rsidRPr="003025B7">
              <w:rPr>
                <w:rFonts w:ascii="Aptos Narrow" w:eastAsia="Times New Roman" w:hAnsi="Aptos Narrow" w:cs="Times New Roman"/>
                <w:color w:val="000000"/>
              </w:rPr>
              <w:t>Loss</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B978880"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0.0546</w:t>
            </w:r>
          </w:p>
        </w:tc>
        <w:tc>
          <w:tcPr>
            <w:tcW w:w="0" w:type="auto"/>
            <w:tcBorders>
              <w:top w:val="nil"/>
              <w:left w:val="nil"/>
              <w:bottom w:val="single" w:sz="4" w:space="0" w:color="auto"/>
              <w:right w:val="single" w:sz="4" w:space="0" w:color="auto"/>
            </w:tcBorders>
            <w:shd w:val="clear" w:color="auto" w:fill="auto"/>
            <w:noWrap/>
            <w:vAlign w:val="center"/>
            <w:hideMark/>
          </w:tcPr>
          <w:p w14:paraId="0F5C6FAB"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0.0809</w:t>
            </w:r>
          </w:p>
        </w:tc>
        <w:tc>
          <w:tcPr>
            <w:tcW w:w="0" w:type="auto"/>
            <w:tcBorders>
              <w:top w:val="nil"/>
              <w:left w:val="nil"/>
              <w:bottom w:val="single" w:sz="4" w:space="0" w:color="auto"/>
              <w:right w:val="single" w:sz="4" w:space="0" w:color="auto"/>
            </w:tcBorders>
            <w:shd w:val="clear" w:color="auto" w:fill="auto"/>
            <w:noWrap/>
            <w:vAlign w:val="center"/>
            <w:hideMark/>
          </w:tcPr>
          <w:p w14:paraId="6834AC70"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7C8432B"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0.0615</w:t>
            </w:r>
          </w:p>
        </w:tc>
      </w:tr>
      <w:tr w:rsidR="003025B7" w:rsidRPr="003025B7" w14:paraId="4583F715" w14:textId="77777777" w:rsidTr="003025B7">
        <w:trPr>
          <w:trHeight w:val="300"/>
          <w:jc w:val="center"/>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7EB77467" w14:textId="77777777" w:rsidR="003025B7" w:rsidRPr="003025B7" w:rsidRDefault="003025B7" w:rsidP="003025B7">
            <w:pPr>
              <w:spacing w:line="240" w:lineRule="auto"/>
              <w:jc w:val="center"/>
              <w:rPr>
                <w:rFonts w:ascii="Aptos Narrow" w:eastAsia="Times New Roman" w:hAnsi="Aptos Narrow" w:cs="Times New Roman"/>
                <w:color w:val="000000"/>
              </w:rPr>
            </w:pPr>
            <w:proofErr w:type="spellStart"/>
            <w:r w:rsidRPr="003025B7">
              <w:rPr>
                <w:rFonts w:ascii="Aptos Narrow" w:eastAsia="Times New Roman" w:hAnsi="Aptos Narrow" w:cs="Times New Roman"/>
                <w:color w:val="000000"/>
              </w:rPr>
              <w:t>Accuracy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EF97F63"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0.9818</w:t>
            </w:r>
          </w:p>
        </w:tc>
        <w:tc>
          <w:tcPr>
            <w:tcW w:w="0" w:type="auto"/>
            <w:tcBorders>
              <w:top w:val="nil"/>
              <w:left w:val="nil"/>
              <w:bottom w:val="single" w:sz="4" w:space="0" w:color="auto"/>
              <w:right w:val="single" w:sz="4" w:space="0" w:color="auto"/>
            </w:tcBorders>
            <w:shd w:val="clear" w:color="auto" w:fill="auto"/>
            <w:noWrap/>
            <w:vAlign w:val="center"/>
            <w:hideMark/>
          </w:tcPr>
          <w:p w14:paraId="2498EF6E"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0.9655</w:t>
            </w:r>
          </w:p>
        </w:tc>
        <w:tc>
          <w:tcPr>
            <w:tcW w:w="0" w:type="auto"/>
            <w:tcBorders>
              <w:top w:val="nil"/>
              <w:left w:val="nil"/>
              <w:bottom w:val="single" w:sz="4" w:space="0" w:color="auto"/>
              <w:right w:val="single" w:sz="4" w:space="0" w:color="auto"/>
            </w:tcBorders>
            <w:shd w:val="clear" w:color="auto" w:fill="auto"/>
            <w:noWrap/>
            <w:vAlign w:val="center"/>
            <w:hideMark/>
          </w:tcPr>
          <w:p w14:paraId="1A26091C"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0.9869</w:t>
            </w:r>
          </w:p>
        </w:tc>
        <w:tc>
          <w:tcPr>
            <w:tcW w:w="0" w:type="auto"/>
            <w:tcBorders>
              <w:top w:val="nil"/>
              <w:left w:val="nil"/>
              <w:bottom w:val="single" w:sz="4" w:space="0" w:color="auto"/>
              <w:right w:val="single" w:sz="4" w:space="0" w:color="auto"/>
            </w:tcBorders>
            <w:shd w:val="clear" w:color="auto" w:fill="auto"/>
            <w:noWrap/>
            <w:vAlign w:val="center"/>
            <w:hideMark/>
          </w:tcPr>
          <w:p w14:paraId="403828DA"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0.9845</w:t>
            </w:r>
          </w:p>
        </w:tc>
      </w:tr>
      <w:tr w:rsidR="003025B7" w:rsidRPr="003025B7" w14:paraId="533CB0DE" w14:textId="77777777" w:rsidTr="003025B7">
        <w:trPr>
          <w:trHeight w:val="300"/>
          <w:jc w:val="center"/>
        </w:trPr>
        <w:tc>
          <w:tcPr>
            <w:tcW w:w="1523" w:type="dxa"/>
            <w:tcBorders>
              <w:top w:val="nil"/>
              <w:left w:val="single" w:sz="4" w:space="0" w:color="auto"/>
              <w:bottom w:val="single" w:sz="4" w:space="0" w:color="auto"/>
              <w:right w:val="single" w:sz="4" w:space="0" w:color="auto"/>
            </w:tcBorders>
            <w:shd w:val="clear" w:color="000000" w:fill="FFFF00"/>
            <w:noWrap/>
            <w:vAlign w:val="center"/>
            <w:hideMark/>
          </w:tcPr>
          <w:p w14:paraId="72AAA9D5"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AUC</w:t>
            </w:r>
          </w:p>
        </w:tc>
        <w:tc>
          <w:tcPr>
            <w:tcW w:w="0" w:type="auto"/>
            <w:tcBorders>
              <w:top w:val="nil"/>
              <w:left w:val="nil"/>
              <w:bottom w:val="single" w:sz="4" w:space="0" w:color="auto"/>
              <w:right w:val="single" w:sz="4" w:space="0" w:color="auto"/>
            </w:tcBorders>
            <w:shd w:val="clear" w:color="000000" w:fill="FFFF00"/>
            <w:noWrap/>
            <w:vAlign w:val="center"/>
            <w:hideMark/>
          </w:tcPr>
          <w:p w14:paraId="18423BFB"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0.9938</w:t>
            </w:r>
          </w:p>
        </w:tc>
        <w:tc>
          <w:tcPr>
            <w:tcW w:w="0" w:type="auto"/>
            <w:tcBorders>
              <w:top w:val="nil"/>
              <w:left w:val="nil"/>
              <w:bottom w:val="single" w:sz="4" w:space="0" w:color="auto"/>
              <w:right w:val="single" w:sz="4" w:space="0" w:color="auto"/>
            </w:tcBorders>
            <w:shd w:val="clear" w:color="000000" w:fill="FFFF00"/>
            <w:noWrap/>
            <w:vAlign w:val="center"/>
            <w:hideMark/>
          </w:tcPr>
          <w:p w14:paraId="4003B95E"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0.9938</w:t>
            </w:r>
          </w:p>
        </w:tc>
        <w:tc>
          <w:tcPr>
            <w:tcW w:w="0" w:type="auto"/>
            <w:tcBorders>
              <w:top w:val="nil"/>
              <w:left w:val="nil"/>
              <w:bottom w:val="single" w:sz="4" w:space="0" w:color="auto"/>
              <w:right w:val="single" w:sz="4" w:space="0" w:color="auto"/>
            </w:tcBorders>
            <w:shd w:val="clear" w:color="000000" w:fill="FFFF00"/>
            <w:noWrap/>
            <w:vAlign w:val="center"/>
            <w:hideMark/>
          </w:tcPr>
          <w:p w14:paraId="69EB12ED"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0.9971</w:t>
            </w:r>
          </w:p>
        </w:tc>
        <w:tc>
          <w:tcPr>
            <w:tcW w:w="0" w:type="auto"/>
            <w:tcBorders>
              <w:top w:val="nil"/>
              <w:left w:val="nil"/>
              <w:bottom w:val="single" w:sz="4" w:space="0" w:color="auto"/>
              <w:right w:val="single" w:sz="4" w:space="0" w:color="auto"/>
            </w:tcBorders>
            <w:shd w:val="clear" w:color="000000" w:fill="FFFF00"/>
            <w:noWrap/>
            <w:vAlign w:val="center"/>
            <w:hideMark/>
          </w:tcPr>
          <w:p w14:paraId="7A420EBF"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0.9928</w:t>
            </w:r>
          </w:p>
        </w:tc>
      </w:tr>
      <w:tr w:rsidR="003025B7" w:rsidRPr="003025B7" w14:paraId="01A32A44" w14:textId="77777777" w:rsidTr="003025B7">
        <w:trPr>
          <w:trHeight w:val="300"/>
          <w:jc w:val="center"/>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5A5A1BAC" w14:textId="77777777" w:rsidR="003025B7" w:rsidRPr="003025B7" w:rsidRDefault="003025B7" w:rsidP="003025B7">
            <w:pPr>
              <w:spacing w:line="240" w:lineRule="auto"/>
              <w:jc w:val="center"/>
              <w:rPr>
                <w:rFonts w:ascii="Aptos Narrow" w:eastAsia="Times New Roman" w:hAnsi="Aptos Narrow" w:cs="Times New Roman"/>
                <w:color w:val="000000"/>
              </w:rPr>
            </w:pPr>
            <w:proofErr w:type="spellStart"/>
            <w:r w:rsidRPr="003025B7">
              <w:rPr>
                <w:rFonts w:ascii="Aptos Narrow" w:eastAsia="Times New Roman" w:hAnsi="Aptos Narrow" w:cs="Times New Roman"/>
                <w:color w:val="000000"/>
              </w:rPr>
              <w:t>Recall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DE48C52"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0.9268</w:t>
            </w:r>
          </w:p>
        </w:tc>
        <w:tc>
          <w:tcPr>
            <w:tcW w:w="0" w:type="auto"/>
            <w:tcBorders>
              <w:top w:val="nil"/>
              <w:left w:val="nil"/>
              <w:bottom w:val="single" w:sz="4" w:space="0" w:color="auto"/>
              <w:right w:val="single" w:sz="4" w:space="0" w:color="auto"/>
            </w:tcBorders>
            <w:shd w:val="clear" w:color="auto" w:fill="auto"/>
            <w:noWrap/>
            <w:vAlign w:val="center"/>
            <w:hideMark/>
          </w:tcPr>
          <w:p w14:paraId="53E802C6"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0.9000</w:t>
            </w:r>
          </w:p>
        </w:tc>
        <w:tc>
          <w:tcPr>
            <w:tcW w:w="0" w:type="auto"/>
            <w:tcBorders>
              <w:top w:val="nil"/>
              <w:left w:val="nil"/>
              <w:bottom w:val="single" w:sz="4" w:space="0" w:color="auto"/>
              <w:right w:val="single" w:sz="4" w:space="0" w:color="auto"/>
            </w:tcBorders>
            <w:shd w:val="clear" w:color="auto" w:fill="auto"/>
            <w:noWrap/>
            <w:vAlign w:val="center"/>
            <w:hideMark/>
          </w:tcPr>
          <w:p w14:paraId="06BF4FBB" w14:textId="1ECC2B0D" w:rsidR="003025B7" w:rsidRPr="003025B7" w:rsidRDefault="003025B7" w:rsidP="003025B7">
            <w:pPr>
              <w:spacing w:line="240" w:lineRule="auto"/>
              <w:jc w:val="center"/>
              <w:rPr>
                <w:rFonts w:ascii="Aptos Narrow" w:eastAsia="Times New Roman" w:hAnsi="Aptos Narrow" w:cs="Times New Roman"/>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74627EB0" w14:textId="199C663F" w:rsidR="003025B7" w:rsidRPr="003025B7" w:rsidRDefault="003025B7" w:rsidP="003025B7">
            <w:pPr>
              <w:spacing w:line="240" w:lineRule="auto"/>
              <w:jc w:val="center"/>
              <w:rPr>
                <w:rFonts w:ascii="Aptos Narrow" w:eastAsia="Times New Roman" w:hAnsi="Aptos Narrow" w:cs="Times New Roman"/>
                <w:color w:val="000000"/>
              </w:rPr>
            </w:pPr>
          </w:p>
        </w:tc>
      </w:tr>
      <w:tr w:rsidR="003025B7" w:rsidRPr="003025B7" w14:paraId="50E3792F" w14:textId="77777777" w:rsidTr="003025B7">
        <w:trPr>
          <w:trHeight w:val="300"/>
          <w:jc w:val="center"/>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6B991DC9" w14:textId="77777777" w:rsidR="003025B7" w:rsidRPr="003025B7" w:rsidRDefault="003025B7" w:rsidP="003025B7">
            <w:pPr>
              <w:spacing w:line="240" w:lineRule="auto"/>
              <w:jc w:val="center"/>
              <w:rPr>
                <w:rFonts w:ascii="Aptos Narrow" w:eastAsia="Times New Roman" w:hAnsi="Aptos Narrow" w:cs="Times New Roman"/>
                <w:color w:val="000000"/>
              </w:rPr>
            </w:pPr>
            <w:proofErr w:type="spellStart"/>
            <w:r w:rsidRPr="003025B7">
              <w:rPr>
                <w:rFonts w:ascii="Aptos Narrow" w:eastAsia="Times New Roman" w:hAnsi="Aptos Narrow" w:cs="Times New Roman"/>
                <w:color w:val="000000"/>
              </w:rPr>
              <w:t>Precision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C1892DE"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0.9629</w:t>
            </w:r>
          </w:p>
        </w:tc>
        <w:tc>
          <w:tcPr>
            <w:tcW w:w="0" w:type="auto"/>
            <w:tcBorders>
              <w:top w:val="nil"/>
              <w:left w:val="nil"/>
              <w:bottom w:val="single" w:sz="4" w:space="0" w:color="auto"/>
              <w:right w:val="single" w:sz="4" w:space="0" w:color="auto"/>
            </w:tcBorders>
            <w:shd w:val="clear" w:color="auto" w:fill="auto"/>
            <w:noWrap/>
            <w:vAlign w:val="center"/>
            <w:hideMark/>
          </w:tcPr>
          <w:p w14:paraId="05C734C8"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0.8936</w:t>
            </w:r>
          </w:p>
        </w:tc>
        <w:tc>
          <w:tcPr>
            <w:tcW w:w="0" w:type="auto"/>
            <w:tcBorders>
              <w:top w:val="nil"/>
              <w:left w:val="nil"/>
              <w:bottom w:val="single" w:sz="4" w:space="0" w:color="auto"/>
              <w:right w:val="single" w:sz="4" w:space="0" w:color="auto"/>
            </w:tcBorders>
            <w:shd w:val="clear" w:color="auto" w:fill="auto"/>
            <w:noWrap/>
            <w:vAlign w:val="center"/>
            <w:hideMark/>
          </w:tcPr>
          <w:p w14:paraId="46407FF3"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0.9796</w:t>
            </w:r>
          </w:p>
        </w:tc>
        <w:tc>
          <w:tcPr>
            <w:tcW w:w="0" w:type="auto"/>
            <w:tcBorders>
              <w:top w:val="nil"/>
              <w:left w:val="nil"/>
              <w:bottom w:val="single" w:sz="4" w:space="0" w:color="auto"/>
              <w:right w:val="single" w:sz="4" w:space="0" w:color="auto"/>
            </w:tcBorders>
            <w:shd w:val="clear" w:color="auto" w:fill="auto"/>
            <w:noWrap/>
            <w:vAlign w:val="center"/>
            <w:hideMark/>
          </w:tcPr>
          <w:p w14:paraId="337955F5" w14:textId="77777777" w:rsidR="003025B7" w:rsidRPr="003025B7" w:rsidRDefault="003025B7" w:rsidP="003025B7">
            <w:pPr>
              <w:spacing w:line="240" w:lineRule="auto"/>
              <w:jc w:val="center"/>
              <w:rPr>
                <w:rFonts w:ascii="Aptos Narrow" w:eastAsia="Times New Roman" w:hAnsi="Aptos Narrow" w:cs="Times New Roman"/>
                <w:color w:val="000000"/>
              </w:rPr>
            </w:pPr>
            <w:r w:rsidRPr="003025B7">
              <w:rPr>
                <w:rFonts w:ascii="Aptos Narrow" w:eastAsia="Times New Roman" w:hAnsi="Aptos Narrow" w:cs="Times New Roman"/>
                <w:color w:val="000000"/>
              </w:rPr>
              <w:t>0.9635</w:t>
            </w:r>
          </w:p>
        </w:tc>
      </w:tr>
    </w:tbl>
    <w:p w14:paraId="5AFD585D" w14:textId="41ACF078" w:rsidR="003025B7" w:rsidRDefault="003025B7" w:rsidP="002749F5">
      <w:pPr>
        <w:jc w:val="both"/>
        <w:rPr>
          <w:b/>
          <w:sz w:val="24"/>
          <w:szCs w:val="24"/>
        </w:rPr>
      </w:pPr>
      <w:r>
        <w:rPr>
          <w:b/>
          <w:sz w:val="24"/>
          <w:szCs w:val="24"/>
        </w:rPr>
        <w:fldChar w:fldCharType="end"/>
      </w:r>
    </w:p>
    <w:p w14:paraId="1E664591" w14:textId="0458F2E9" w:rsidR="00F449EF" w:rsidRPr="00F449EF" w:rsidRDefault="00F449EF" w:rsidP="00F449EF">
      <w:pPr>
        <w:jc w:val="both"/>
        <w:rPr>
          <w:bCs/>
          <w:sz w:val="24"/>
          <w:szCs w:val="24"/>
        </w:rPr>
      </w:pPr>
      <w:r w:rsidRPr="00F449EF">
        <w:rPr>
          <w:bCs/>
          <w:sz w:val="24"/>
          <w:szCs w:val="24"/>
        </w:rPr>
        <w:t xml:space="preserve">Ambos modelos exhiben un AUC similar en </w:t>
      </w:r>
      <w:r>
        <w:rPr>
          <w:bCs/>
          <w:sz w:val="24"/>
          <w:szCs w:val="24"/>
        </w:rPr>
        <w:t xml:space="preserve">los datos de </w:t>
      </w:r>
      <w:r w:rsidRPr="00F449EF">
        <w:rPr>
          <w:bCs/>
          <w:sz w:val="24"/>
          <w:szCs w:val="24"/>
        </w:rPr>
        <w:t xml:space="preserve">prueba (0.9938 para la red neuronal estándar y 0.9928 para la CNN), sin embargo, la CNN presenta un AUC más elevado en </w:t>
      </w:r>
      <w:r>
        <w:rPr>
          <w:bCs/>
          <w:sz w:val="24"/>
          <w:szCs w:val="24"/>
        </w:rPr>
        <w:t xml:space="preserve">los datos de </w:t>
      </w:r>
      <w:r w:rsidRPr="00F449EF">
        <w:rPr>
          <w:bCs/>
          <w:sz w:val="24"/>
          <w:szCs w:val="24"/>
        </w:rPr>
        <w:t xml:space="preserve">entrenamiento (0.9971 en contraste con el 0.9938 de la red neuronal estándar). Este hallazgo sugiere una mejor capacidad de generalización y un menor riesgo de sobreajuste en datos no observados por parte de la CNN. Además, la CNN alcanza una precisión superior en </w:t>
      </w:r>
      <w:r>
        <w:rPr>
          <w:bCs/>
          <w:sz w:val="24"/>
          <w:szCs w:val="24"/>
        </w:rPr>
        <w:t>los datos de</w:t>
      </w:r>
      <w:r w:rsidRPr="00F449EF">
        <w:rPr>
          <w:bCs/>
          <w:sz w:val="24"/>
          <w:szCs w:val="24"/>
        </w:rPr>
        <w:t xml:space="preserve"> prueba (0.9635) en comparación con la red neuronal estándar (0.8936), lo que indica una mejor capacidad para identificar correctamente los casos positivos sin generar un exceso de falsos positivos. Por lo tanto, considerando tanto la precisión como el AUC, la implementación de la solución se llevará a cabo utilizando una red neuronal convolucional.</w:t>
      </w:r>
    </w:p>
    <w:p w14:paraId="54877F73" w14:textId="77777777" w:rsidR="00F449EF" w:rsidRPr="00F449EF" w:rsidRDefault="00F449EF" w:rsidP="00F449EF">
      <w:pPr>
        <w:jc w:val="both"/>
        <w:rPr>
          <w:bCs/>
          <w:sz w:val="24"/>
          <w:szCs w:val="24"/>
        </w:rPr>
      </w:pPr>
    </w:p>
    <w:p w14:paraId="1AB3DC87" w14:textId="0C563DE7" w:rsidR="00BA29B6" w:rsidRDefault="00F449EF" w:rsidP="00F449EF">
      <w:pPr>
        <w:jc w:val="both"/>
        <w:rPr>
          <w:bCs/>
          <w:sz w:val="24"/>
          <w:szCs w:val="24"/>
        </w:rPr>
      </w:pPr>
      <w:r>
        <w:rPr>
          <w:bCs/>
          <w:sz w:val="24"/>
          <w:szCs w:val="24"/>
        </w:rPr>
        <w:t>Por otra parte, l</w:t>
      </w:r>
      <w:r w:rsidRPr="00F449EF">
        <w:rPr>
          <w:bCs/>
          <w:sz w:val="24"/>
          <w:szCs w:val="24"/>
        </w:rPr>
        <w:t xml:space="preserve">os resultados anteriores revelan que, en la red convolucional, la pérdida en entrenamiento es notablemente inferior a la de prueba, lo que sugiere una adecuada generalización del modelo. La precisión en el entrenamiento es alta (98.69%), y ligeramente menor en la prueba (98.45%), mientras que el AUC es elevado en ambos conjuntos de datos. Estos resultados indican que el modelo de CNN está generalizando bien sin mostrar señales de sobreajuste o </w:t>
      </w:r>
      <w:proofErr w:type="spellStart"/>
      <w:r w:rsidRPr="00F449EF">
        <w:rPr>
          <w:bCs/>
          <w:sz w:val="24"/>
          <w:szCs w:val="24"/>
        </w:rPr>
        <w:t>subajuste</w:t>
      </w:r>
      <w:proofErr w:type="spellEnd"/>
      <w:r>
        <w:rPr>
          <w:bCs/>
          <w:sz w:val="24"/>
          <w:szCs w:val="24"/>
        </w:rPr>
        <w:t>, es decir</w:t>
      </w:r>
      <w:r w:rsidRPr="00F449EF">
        <w:rPr>
          <w:bCs/>
          <w:sz w:val="24"/>
          <w:szCs w:val="24"/>
        </w:rPr>
        <w:t>, la red neuronal convolucional exhibe un rendimiento coherente en ambos conjuntos de datos, lo que sugiere una generalización apropiada y una menor propensión al sobreajuste en comparación con la red neuronal estándar.</w:t>
      </w:r>
    </w:p>
    <w:p w14:paraId="067F7040" w14:textId="77777777" w:rsidR="00F449EF" w:rsidRDefault="00F449EF" w:rsidP="00F449EF">
      <w:pPr>
        <w:jc w:val="both"/>
        <w:rPr>
          <w:bCs/>
          <w:sz w:val="24"/>
          <w:szCs w:val="24"/>
        </w:rPr>
      </w:pPr>
    </w:p>
    <w:p w14:paraId="564E4B9E" w14:textId="28EFF6EE" w:rsidR="00BA29B6" w:rsidRDefault="00BA29B6" w:rsidP="00BA29B6">
      <w:pPr>
        <w:jc w:val="both"/>
        <w:rPr>
          <w:b/>
          <w:sz w:val="24"/>
          <w:szCs w:val="24"/>
        </w:rPr>
      </w:pPr>
      <w:r w:rsidRPr="003025B7">
        <w:rPr>
          <w:b/>
          <w:sz w:val="24"/>
          <w:szCs w:val="24"/>
        </w:rPr>
        <w:t xml:space="preserve">Afinamiento de </w:t>
      </w:r>
      <w:proofErr w:type="spellStart"/>
      <w:r w:rsidRPr="003025B7">
        <w:rPr>
          <w:b/>
          <w:sz w:val="24"/>
          <w:szCs w:val="24"/>
        </w:rPr>
        <w:t>hiperparametros</w:t>
      </w:r>
      <w:proofErr w:type="spellEnd"/>
      <w:r w:rsidR="00342358">
        <w:rPr>
          <w:b/>
          <w:sz w:val="24"/>
          <w:szCs w:val="24"/>
        </w:rPr>
        <w:t>.</w:t>
      </w:r>
    </w:p>
    <w:p w14:paraId="64C6E15D" w14:textId="6F880875" w:rsidR="00BA29B6" w:rsidRPr="00BA29B6" w:rsidRDefault="00BA29B6" w:rsidP="00BA29B6">
      <w:pPr>
        <w:jc w:val="both"/>
        <w:rPr>
          <w:bCs/>
          <w:sz w:val="24"/>
          <w:szCs w:val="24"/>
        </w:rPr>
      </w:pPr>
      <w:r w:rsidRPr="00BA29B6">
        <w:rPr>
          <w:bCs/>
          <w:sz w:val="24"/>
          <w:szCs w:val="24"/>
        </w:rPr>
        <w:t xml:space="preserve">El modelo actual ya está demostrando un buen rendimiento en términos de </w:t>
      </w:r>
      <w:proofErr w:type="spellStart"/>
      <w:r>
        <w:rPr>
          <w:bCs/>
          <w:sz w:val="24"/>
          <w:szCs w:val="24"/>
        </w:rPr>
        <w:t>Accuracy</w:t>
      </w:r>
      <w:proofErr w:type="spellEnd"/>
      <w:r w:rsidRPr="00BA29B6">
        <w:rPr>
          <w:bCs/>
          <w:sz w:val="24"/>
          <w:szCs w:val="24"/>
        </w:rPr>
        <w:t xml:space="preserve">, AUC y </w:t>
      </w:r>
      <w:proofErr w:type="spellStart"/>
      <w:r>
        <w:rPr>
          <w:bCs/>
          <w:sz w:val="24"/>
          <w:szCs w:val="24"/>
        </w:rPr>
        <w:t>Precision</w:t>
      </w:r>
      <w:proofErr w:type="spellEnd"/>
      <w:r w:rsidRPr="00BA29B6">
        <w:rPr>
          <w:bCs/>
          <w:sz w:val="24"/>
          <w:szCs w:val="24"/>
        </w:rPr>
        <w:t xml:space="preserve"> en ambos conjuntos de datos de entrenamiento y prueba</w:t>
      </w:r>
      <w:r>
        <w:rPr>
          <w:bCs/>
          <w:sz w:val="24"/>
          <w:szCs w:val="24"/>
        </w:rPr>
        <w:t xml:space="preserve">. </w:t>
      </w:r>
      <w:r w:rsidRPr="00BA29B6">
        <w:rPr>
          <w:bCs/>
          <w:sz w:val="24"/>
          <w:szCs w:val="24"/>
        </w:rPr>
        <w:t xml:space="preserve">Si bien el ajuste de </w:t>
      </w:r>
      <w:proofErr w:type="spellStart"/>
      <w:r w:rsidRPr="00BA29B6">
        <w:rPr>
          <w:bCs/>
          <w:sz w:val="24"/>
          <w:szCs w:val="24"/>
        </w:rPr>
        <w:t>hiperparámetros</w:t>
      </w:r>
      <w:proofErr w:type="spellEnd"/>
      <w:r w:rsidRPr="00BA29B6">
        <w:rPr>
          <w:bCs/>
          <w:sz w:val="24"/>
          <w:szCs w:val="24"/>
        </w:rPr>
        <w:t xml:space="preserve"> puede mejorar el rendimiento del modelo en el conjunto de entrenamiento, existe un riesgo potencial de sobreajuste si se ajustan los </w:t>
      </w:r>
      <w:proofErr w:type="spellStart"/>
      <w:r w:rsidRPr="00BA29B6">
        <w:rPr>
          <w:bCs/>
          <w:sz w:val="24"/>
          <w:szCs w:val="24"/>
        </w:rPr>
        <w:t>hiperparámetros</w:t>
      </w:r>
      <w:proofErr w:type="spellEnd"/>
      <w:r w:rsidRPr="00BA29B6">
        <w:rPr>
          <w:bCs/>
          <w:sz w:val="24"/>
          <w:szCs w:val="24"/>
        </w:rPr>
        <w:t xml:space="preserve"> demasiado específicamente a los datos de entrenamiento. Al mantener la configuración actual del modelo, se reduce este riesgo y se fomenta una mejor generalización del modelo a nuevos datos.</w:t>
      </w:r>
    </w:p>
    <w:p w14:paraId="7884B1E9" w14:textId="77777777" w:rsidR="00BA29B6" w:rsidRPr="00BA29B6" w:rsidRDefault="00BA29B6" w:rsidP="00BA29B6">
      <w:pPr>
        <w:jc w:val="both"/>
        <w:rPr>
          <w:bCs/>
          <w:sz w:val="24"/>
          <w:szCs w:val="24"/>
        </w:rPr>
      </w:pPr>
    </w:p>
    <w:p w14:paraId="4B9F00C8" w14:textId="044B4D30" w:rsidR="0014405D" w:rsidRDefault="003025B7" w:rsidP="00836700">
      <w:pPr>
        <w:jc w:val="both"/>
        <w:rPr>
          <w:b/>
          <w:sz w:val="24"/>
          <w:szCs w:val="24"/>
        </w:rPr>
      </w:pPr>
      <w:r>
        <w:rPr>
          <w:b/>
          <w:sz w:val="24"/>
          <w:szCs w:val="24"/>
        </w:rPr>
        <w:t>Evaluación y análisis del modelo</w:t>
      </w:r>
      <w:r w:rsidR="00342358">
        <w:rPr>
          <w:b/>
          <w:sz w:val="24"/>
          <w:szCs w:val="24"/>
        </w:rPr>
        <w:t>.</w:t>
      </w:r>
    </w:p>
    <w:p w14:paraId="01EDFCB7" w14:textId="33C19C58" w:rsidR="0014405D" w:rsidRDefault="0014405D" w:rsidP="0014405D">
      <w:pPr>
        <w:jc w:val="both"/>
        <w:rPr>
          <w:bCs/>
          <w:sz w:val="24"/>
          <w:szCs w:val="24"/>
        </w:rPr>
      </w:pPr>
      <w:r w:rsidRPr="0014405D">
        <w:rPr>
          <w:bCs/>
          <w:sz w:val="24"/>
          <w:szCs w:val="24"/>
        </w:rPr>
        <w:t>Se realizó un análisis gráfico de los resultados de las probabilidades, como se muestra en la siguiente gráfica:</w:t>
      </w:r>
    </w:p>
    <w:p w14:paraId="51467F71" w14:textId="77777777" w:rsidR="0014405D" w:rsidRPr="0014405D" w:rsidRDefault="0014405D" w:rsidP="0014405D">
      <w:pPr>
        <w:jc w:val="both"/>
        <w:rPr>
          <w:bCs/>
          <w:sz w:val="24"/>
          <w:szCs w:val="24"/>
        </w:rPr>
      </w:pPr>
    </w:p>
    <w:p w14:paraId="0571D75F" w14:textId="6BB05F74" w:rsidR="0014405D" w:rsidRDefault="0014405D" w:rsidP="0014405D">
      <w:pPr>
        <w:jc w:val="center"/>
        <w:rPr>
          <w:bCs/>
          <w:sz w:val="24"/>
          <w:szCs w:val="24"/>
        </w:rPr>
      </w:pPr>
      <w:r>
        <w:rPr>
          <w:noProof/>
        </w:rPr>
        <w:drawing>
          <wp:inline distT="0" distB="0" distL="0" distR="0" wp14:anchorId="684AE5F1" wp14:editId="2B2B3EE7">
            <wp:extent cx="2392325" cy="1907750"/>
            <wp:effectExtent l="0" t="0" r="8255" b="0"/>
            <wp:docPr id="865399858"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9858" name="Imagen 2" descr="Gráfico, Histo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6313" cy="1942828"/>
                    </a:xfrm>
                    <a:prstGeom prst="rect">
                      <a:avLst/>
                    </a:prstGeom>
                    <a:noFill/>
                    <a:ln>
                      <a:noFill/>
                    </a:ln>
                  </pic:spPr>
                </pic:pic>
              </a:graphicData>
            </a:graphic>
          </wp:inline>
        </w:drawing>
      </w:r>
    </w:p>
    <w:p w14:paraId="130161D6" w14:textId="77777777" w:rsidR="0014405D" w:rsidRPr="0014405D" w:rsidRDefault="0014405D" w:rsidP="0014405D">
      <w:pPr>
        <w:jc w:val="both"/>
        <w:rPr>
          <w:bCs/>
          <w:sz w:val="24"/>
          <w:szCs w:val="24"/>
        </w:rPr>
      </w:pPr>
    </w:p>
    <w:p w14:paraId="165816AB" w14:textId="5DF9F247" w:rsidR="0014405D" w:rsidRDefault="0014405D" w:rsidP="0014405D">
      <w:pPr>
        <w:jc w:val="both"/>
        <w:rPr>
          <w:bCs/>
          <w:sz w:val="24"/>
          <w:szCs w:val="24"/>
        </w:rPr>
      </w:pPr>
      <w:r w:rsidRPr="0014405D">
        <w:rPr>
          <w:bCs/>
          <w:sz w:val="24"/>
          <w:szCs w:val="24"/>
        </w:rPr>
        <w:t>Basándonos en estos resultados, se establecieron tres grupos de pacientes utilizando límites porcentuales. Los pacientes con probabilidades de tuberculosis (TB) superiores al 60% recibieron un diagnóstico automático de TB. Aquellos con probabilidades inferiores al 30% se consideraron automáticamente sin TB. Los pacientes con probabilidades entre el 30% y el 60% fueron remitidos para una revisión diagnóstica por parte del personal médico. Es</w:t>
      </w:r>
      <w:r>
        <w:rPr>
          <w:bCs/>
          <w:sz w:val="24"/>
          <w:szCs w:val="24"/>
        </w:rPr>
        <w:t xml:space="preserve">to </w:t>
      </w:r>
      <w:r w:rsidRPr="0014405D">
        <w:rPr>
          <w:bCs/>
          <w:sz w:val="24"/>
          <w:szCs w:val="24"/>
        </w:rPr>
        <w:t>permite</w:t>
      </w:r>
      <w:r>
        <w:rPr>
          <w:bCs/>
          <w:sz w:val="24"/>
          <w:szCs w:val="24"/>
        </w:rPr>
        <w:t>n</w:t>
      </w:r>
      <w:r w:rsidRPr="0014405D">
        <w:rPr>
          <w:bCs/>
          <w:sz w:val="24"/>
          <w:szCs w:val="24"/>
        </w:rPr>
        <w:t xml:space="preserve"> una asignación precisa de los pacientes a diferentes categorías de diagnóstico, optimizando así el proceso de atención médica y la utilización de recursos.</w:t>
      </w:r>
    </w:p>
    <w:p w14:paraId="04E23BBD" w14:textId="77777777" w:rsidR="007E63B0" w:rsidRDefault="007E63B0" w:rsidP="0014405D">
      <w:pPr>
        <w:jc w:val="both"/>
        <w:rPr>
          <w:bCs/>
          <w:sz w:val="24"/>
          <w:szCs w:val="24"/>
        </w:rPr>
      </w:pPr>
    </w:p>
    <w:p w14:paraId="75F8677C" w14:textId="769B09F7" w:rsidR="00836700" w:rsidRDefault="00836700" w:rsidP="0014405D">
      <w:pPr>
        <w:jc w:val="both"/>
        <w:rPr>
          <w:bCs/>
          <w:sz w:val="24"/>
          <w:szCs w:val="24"/>
        </w:rPr>
      </w:pPr>
      <w:r>
        <w:rPr>
          <w:bCs/>
          <w:sz w:val="24"/>
          <w:szCs w:val="24"/>
        </w:rPr>
        <w:t xml:space="preserve">Con el fin de confirmar la importancia y el grado de error de las categorías mencionadas se hizo análisis de desempeño de cada grupo y se </w:t>
      </w:r>
      <w:proofErr w:type="spellStart"/>
      <w:r>
        <w:rPr>
          <w:bCs/>
          <w:sz w:val="24"/>
          <w:szCs w:val="24"/>
        </w:rPr>
        <w:t>observo</w:t>
      </w:r>
      <w:proofErr w:type="spellEnd"/>
      <w:r>
        <w:rPr>
          <w:bCs/>
          <w:sz w:val="24"/>
          <w:szCs w:val="24"/>
        </w:rPr>
        <w:t xml:space="preserve"> la matriz de confusión, obteniendo los siguientes resultados y conclusiones:</w:t>
      </w:r>
      <w:r>
        <w:rPr>
          <w:bCs/>
          <w:sz w:val="24"/>
          <w:szCs w:val="24"/>
        </w:rPr>
        <w:br/>
      </w:r>
    </w:p>
    <w:tbl>
      <w:tblPr>
        <w:tblW w:w="5620" w:type="dxa"/>
        <w:jc w:val="center"/>
        <w:tblCellMar>
          <w:left w:w="70" w:type="dxa"/>
          <w:right w:w="70" w:type="dxa"/>
        </w:tblCellMar>
        <w:tblLook w:val="04A0" w:firstRow="1" w:lastRow="0" w:firstColumn="1" w:lastColumn="0" w:noHBand="0" w:noVBand="1"/>
      </w:tblPr>
      <w:tblGrid>
        <w:gridCol w:w="1108"/>
        <w:gridCol w:w="1238"/>
        <w:gridCol w:w="845"/>
        <w:gridCol w:w="1151"/>
        <w:gridCol w:w="1278"/>
      </w:tblGrid>
      <w:tr w:rsidR="00836700" w:rsidRPr="00836700" w14:paraId="7EF014F7" w14:textId="77777777" w:rsidTr="00836700">
        <w:trPr>
          <w:trHeight w:val="300"/>
          <w:jc w:val="center"/>
        </w:trPr>
        <w:tc>
          <w:tcPr>
            <w:tcW w:w="5620" w:type="dxa"/>
            <w:gridSpan w:val="5"/>
            <w:tcBorders>
              <w:top w:val="single" w:sz="4" w:space="0" w:color="auto"/>
              <w:left w:val="single" w:sz="4" w:space="0" w:color="auto"/>
              <w:bottom w:val="single" w:sz="4" w:space="0" w:color="auto"/>
              <w:right w:val="single" w:sz="4" w:space="0" w:color="auto"/>
            </w:tcBorders>
            <w:shd w:val="clear" w:color="000000" w:fill="E8E8E8"/>
            <w:noWrap/>
            <w:vAlign w:val="bottom"/>
            <w:hideMark/>
          </w:tcPr>
          <w:p w14:paraId="55A6E6C6"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Tabla resumen</w:t>
            </w:r>
          </w:p>
        </w:tc>
      </w:tr>
      <w:tr w:rsidR="00836700" w:rsidRPr="00836700" w14:paraId="213BB7B2" w14:textId="77777777" w:rsidTr="00836700">
        <w:trPr>
          <w:trHeight w:val="300"/>
          <w:jc w:val="center"/>
        </w:trPr>
        <w:tc>
          <w:tcPr>
            <w:tcW w:w="1108" w:type="dxa"/>
            <w:tcBorders>
              <w:top w:val="nil"/>
              <w:left w:val="single" w:sz="4" w:space="0" w:color="auto"/>
              <w:bottom w:val="single" w:sz="4" w:space="0" w:color="auto"/>
              <w:right w:val="single" w:sz="4" w:space="0" w:color="auto"/>
            </w:tcBorders>
            <w:shd w:val="clear" w:color="000000" w:fill="E8E8E8"/>
            <w:noWrap/>
            <w:vAlign w:val="center"/>
            <w:hideMark/>
          </w:tcPr>
          <w:p w14:paraId="5B613C2B"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Etiqueta</w:t>
            </w:r>
          </w:p>
        </w:tc>
        <w:tc>
          <w:tcPr>
            <w:tcW w:w="1238" w:type="dxa"/>
            <w:tcBorders>
              <w:top w:val="nil"/>
              <w:left w:val="nil"/>
              <w:bottom w:val="single" w:sz="4" w:space="0" w:color="auto"/>
              <w:right w:val="single" w:sz="4" w:space="0" w:color="auto"/>
            </w:tcBorders>
            <w:shd w:val="clear" w:color="000000" w:fill="E8E8E8"/>
            <w:noWrap/>
            <w:vAlign w:val="center"/>
            <w:hideMark/>
          </w:tcPr>
          <w:p w14:paraId="3C4E21F3" w14:textId="77777777" w:rsidR="00836700" w:rsidRPr="00836700" w:rsidRDefault="00836700" w:rsidP="00836700">
            <w:pPr>
              <w:spacing w:line="240" w:lineRule="auto"/>
              <w:jc w:val="center"/>
              <w:rPr>
                <w:rFonts w:ascii="Aptos Narrow" w:eastAsia="Times New Roman" w:hAnsi="Aptos Narrow" w:cs="Times New Roman"/>
                <w:b/>
                <w:bCs/>
                <w:color w:val="000000"/>
              </w:rPr>
            </w:pPr>
            <w:proofErr w:type="spellStart"/>
            <w:r w:rsidRPr="00836700">
              <w:rPr>
                <w:rFonts w:ascii="Aptos Narrow" w:eastAsia="Times New Roman" w:hAnsi="Aptos Narrow" w:cs="Times New Roman"/>
                <w:b/>
                <w:bCs/>
                <w:color w:val="000000"/>
              </w:rPr>
              <w:t>Precision</w:t>
            </w:r>
            <w:proofErr w:type="spellEnd"/>
          </w:p>
        </w:tc>
        <w:tc>
          <w:tcPr>
            <w:tcW w:w="845" w:type="dxa"/>
            <w:tcBorders>
              <w:top w:val="nil"/>
              <w:left w:val="nil"/>
              <w:bottom w:val="single" w:sz="4" w:space="0" w:color="auto"/>
              <w:right w:val="single" w:sz="4" w:space="0" w:color="auto"/>
            </w:tcBorders>
            <w:shd w:val="clear" w:color="000000" w:fill="E8E8E8"/>
            <w:noWrap/>
            <w:vAlign w:val="center"/>
            <w:hideMark/>
          </w:tcPr>
          <w:p w14:paraId="1C794970" w14:textId="77777777" w:rsidR="00836700" w:rsidRPr="00836700" w:rsidRDefault="00836700" w:rsidP="00836700">
            <w:pPr>
              <w:spacing w:line="240" w:lineRule="auto"/>
              <w:jc w:val="center"/>
              <w:rPr>
                <w:rFonts w:ascii="Aptos Narrow" w:eastAsia="Times New Roman" w:hAnsi="Aptos Narrow" w:cs="Times New Roman"/>
                <w:b/>
                <w:bCs/>
                <w:color w:val="000000"/>
              </w:rPr>
            </w:pPr>
            <w:proofErr w:type="spellStart"/>
            <w:r w:rsidRPr="00836700">
              <w:rPr>
                <w:rFonts w:ascii="Aptos Narrow" w:eastAsia="Times New Roman" w:hAnsi="Aptos Narrow" w:cs="Times New Roman"/>
                <w:b/>
                <w:bCs/>
                <w:color w:val="000000"/>
              </w:rPr>
              <w:t>Recall</w:t>
            </w:r>
            <w:proofErr w:type="spellEnd"/>
          </w:p>
        </w:tc>
        <w:tc>
          <w:tcPr>
            <w:tcW w:w="1151" w:type="dxa"/>
            <w:tcBorders>
              <w:top w:val="nil"/>
              <w:left w:val="nil"/>
              <w:bottom w:val="single" w:sz="4" w:space="0" w:color="auto"/>
              <w:right w:val="single" w:sz="4" w:space="0" w:color="auto"/>
            </w:tcBorders>
            <w:shd w:val="clear" w:color="000000" w:fill="E8E8E8"/>
            <w:noWrap/>
            <w:vAlign w:val="center"/>
            <w:hideMark/>
          </w:tcPr>
          <w:p w14:paraId="7402FF36"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F1-score</w:t>
            </w:r>
          </w:p>
        </w:tc>
        <w:tc>
          <w:tcPr>
            <w:tcW w:w="1278" w:type="dxa"/>
            <w:tcBorders>
              <w:top w:val="nil"/>
              <w:left w:val="nil"/>
              <w:bottom w:val="single" w:sz="4" w:space="0" w:color="auto"/>
              <w:right w:val="single" w:sz="4" w:space="0" w:color="auto"/>
            </w:tcBorders>
            <w:shd w:val="clear" w:color="000000" w:fill="E8E8E8"/>
            <w:noWrap/>
            <w:vAlign w:val="center"/>
            <w:hideMark/>
          </w:tcPr>
          <w:p w14:paraId="3205BD4B" w14:textId="16528C70"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Categoría</w:t>
            </w:r>
          </w:p>
        </w:tc>
      </w:tr>
      <w:tr w:rsidR="00836700" w:rsidRPr="00836700" w14:paraId="71149918" w14:textId="77777777" w:rsidTr="00836700">
        <w:trPr>
          <w:trHeight w:val="300"/>
          <w:jc w:val="center"/>
        </w:trPr>
        <w:tc>
          <w:tcPr>
            <w:tcW w:w="1108" w:type="dxa"/>
            <w:tcBorders>
              <w:top w:val="nil"/>
              <w:left w:val="single" w:sz="4" w:space="0" w:color="auto"/>
              <w:bottom w:val="single" w:sz="4" w:space="0" w:color="auto"/>
              <w:right w:val="single" w:sz="4" w:space="0" w:color="auto"/>
            </w:tcBorders>
            <w:shd w:val="clear" w:color="auto" w:fill="auto"/>
            <w:noWrap/>
            <w:vAlign w:val="center"/>
            <w:hideMark/>
          </w:tcPr>
          <w:p w14:paraId="0B02EC27"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0</w:t>
            </w:r>
          </w:p>
        </w:tc>
        <w:tc>
          <w:tcPr>
            <w:tcW w:w="1238" w:type="dxa"/>
            <w:tcBorders>
              <w:top w:val="nil"/>
              <w:left w:val="nil"/>
              <w:bottom w:val="single" w:sz="4" w:space="0" w:color="auto"/>
              <w:right w:val="single" w:sz="4" w:space="0" w:color="auto"/>
            </w:tcBorders>
            <w:shd w:val="clear" w:color="auto" w:fill="auto"/>
            <w:noWrap/>
            <w:vAlign w:val="center"/>
            <w:hideMark/>
          </w:tcPr>
          <w:p w14:paraId="0A2A4866"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0.99</w:t>
            </w:r>
          </w:p>
        </w:tc>
        <w:tc>
          <w:tcPr>
            <w:tcW w:w="845" w:type="dxa"/>
            <w:tcBorders>
              <w:top w:val="nil"/>
              <w:left w:val="nil"/>
              <w:bottom w:val="single" w:sz="4" w:space="0" w:color="auto"/>
              <w:right w:val="single" w:sz="4" w:space="0" w:color="auto"/>
            </w:tcBorders>
            <w:shd w:val="clear" w:color="auto" w:fill="auto"/>
            <w:noWrap/>
            <w:vAlign w:val="center"/>
            <w:hideMark/>
          </w:tcPr>
          <w:p w14:paraId="13281553"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1</w:t>
            </w:r>
          </w:p>
        </w:tc>
        <w:tc>
          <w:tcPr>
            <w:tcW w:w="1151" w:type="dxa"/>
            <w:tcBorders>
              <w:top w:val="nil"/>
              <w:left w:val="nil"/>
              <w:bottom w:val="single" w:sz="4" w:space="0" w:color="auto"/>
              <w:right w:val="single" w:sz="4" w:space="0" w:color="auto"/>
            </w:tcBorders>
            <w:shd w:val="clear" w:color="auto" w:fill="auto"/>
            <w:noWrap/>
            <w:vAlign w:val="center"/>
            <w:hideMark/>
          </w:tcPr>
          <w:p w14:paraId="03C6C156"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0.99</w:t>
            </w:r>
          </w:p>
        </w:tc>
        <w:tc>
          <w:tcPr>
            <w:tcW w:w="12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F3ABD9"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TB</w:t>
            </w:r>
          </w:p>
        </w:tc>
      </w:tr>
      <w:tr w:rsidR="00836700" w:rsidRPr="00836700" w14:paraId="7DFCE0D9" w14:textId="77777777" w:rsidTr="00836700">
        <w:trPr>
          <w:trHeight w:val="300"/>
          <w:jc w:val="center"/>
        </w:trPr>
        <w:tc>
          <w:tcPr>
            <w:tcW w:w="1108" w:type="dxa"/>
            <w:tcBorders>
              <w:top w:val="nil"/>
              <w:left w:val="single" w:sz="4" w:space="0" w:color="auto"/>
              <w:bottom w:val="single" w:sz="4" w:space="0" w:color="auto"/>
              <w:right w:val="single" w:sz="4" w:space="0" w:color="auto"/>
            </w:tcBorders>
            <w:shd w:val="clear" w:color="000000" w:fill="E8E8E8"/>
            <w:noWrap/>
            <w:vAlign w:val="center"/>
            <w:hideMark/>
          </w:tcPr>
          <w:p w14:paraId="3E4211E6"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1</w:t>
            </w:r>
          </w:p>
        </w:tc>
        <w:tc>
          <w:tcPr>
            <w:tcW w:w="1238" w:type="dxa"/>
            <w:tcBorders>
              <w:top w:val="nil"/>
              <w:left w:val="nil"/>
              <w:bottom w:val="single" w:sz="4" w:space="0" w:color="auto"/>
              <w:right w:val="single" w:sz="4" w:space="0" w:color="auto"/>
            </w:tcBorders>
            <w:shd w:val="clear" w:color="000000" w:fill="E8E8E8"/>
            <w:noWrap/>
            <w:vAlign w:val="center"/>
            <w:hideMark/>
          </w:tcPr>
          <w:p w14:paraId="07B578DA"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0.98</w:t>
            </w:r>
          </w:p>
        </w:tc>
        <w:tc>
          <w:tcPr>
            <w:tcW w:w="845" w:type="dxa"/>
            <w:tcBorders>
              <w:top w:val="nil"/>
              <w:left w:val="nil"/>
              <w:bottom w:val="single" w:sz="4" w:space="0" w:color="auto"/>
              <w:right w:val="single" w:sz="4" w:space="0" w:color="auto"/>
            </w:tcBorders>
            <w:shd w:val="clear" w:color="000000" w:fill="E8E8E8"/>
            <w:noWrap/>
            <w:vAlign w:val="center"/>
            <w:hideMark/>
          </w:tcPr>
          <w:p w14:paraId="57EA03EF"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0.94</w:t>
            </w:r>
          </w:p>
        </w:tc>
        <w:tc>
          <w:tcPr>
            <w:tcW w:w="1151" w:type="dxa"/>
            <w:tcBorders>
              <w:top w:val="nil"/>
              <w:left w:val="nil"/>
              <w:bottom w:val="single" w:sz="4" w:space="0" w:color="auto"/>
              <w:right w:val="single" w:sz="4" w:space="0" w:color="auto"/>
            </w:tcBorders>
            <w:shd w:val="clear" w:color="000000" w:fill="E8E8E8"/>
            <w:noWrap/>
            <w:vAlign w:val="center"/>
            <w:hideMark/>
          </w:tcPr>
          <w:p w14:paraId="47A5BF44"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0.96</w:t>
            </w:r>
          </w:p>
        </w:tc>
        <w:tc>
          <w:tcPr>
            <w:tcW w:w="1278" w:type="dxa"/>
            <w:vMerge/>
            <w:tcBorders>
              <w:top w:val="nil"/>
              <w:left w:val="single" w:sz="4" w:space="0" w:color="auto"/>
              <w:bottom w:val="single" w:sz="4" w:space="0" w:color="auto"/>
              <w:right w:val="single" w:sz="4" w:space="0" w:color="auto"/>
            </w:tcBorders>
            <w:vAlign w:val="center"/>
            <w:hideMark/>
          </w:tcPr>
          <w:p w14:paraId="3CA76C92" w14:textId="77777777" w:rsidR="00836700" w:rsidRPr="00836700" w:rsidRDefault="00836700" w:rsidP="00836700">
            <w:pPr>
              <w:spacing w:line="240" w:lineRule="auto"/>
              <w:rPr>
                <w:rFonts w:ascii="Aptos Narrow" w:eastAsia="Times New Roman" w:hAnsi="Aptos Narrow" w:cs="Times New Roman"/>
                <w:color w:val="000000"/>
              </w:rPr>
            </w:pPr>
          </w:p>
        </w:tc>
      </w:tr>
      <w:tr w:rsidR="00836700" w:rsidRPr="00836700" w14:paraId="13BB1A98" w14:textId="77777777" w:rsidTr="00836700">
        <w:trPr>
          <w:trHeight w:val="300"/>
          <w:jc w:val="center"/>
        </w:trPr>
        <w:tc>
          <w:tcPr>
            <w:tcW w:w="1108" w:type="dxa"/>
            <w:tcBorders>
              <w:top w:val="nil"/>
              <w:left w:val="single" w:sz="4" w:space="0" w:color="auto"/>
              <w:bottom w:val="single" w:sz="4" w:space="0" w:color="auto"/>
              <w:right w:val="single" w:sz="4" w:space="0" w:color="auto"/>
            </w:tcBorders>
            <w:shd w:val="clear" w:color="000000" w:fill="E8E8E8"/>
            <w:noWrap/>
            <w:vAlign w:val="center"/>
            <w:hideMark/>
          </w:tcPr>
          <w:p w14:paraId="694ACD6E"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w:t>
            </w:r>
          </w:p>
        </w:tc>
        <w:tc>
          <w:tcPr>
            <w:tcW w:w="1238" w:type="dxa"/>
            <w:tcBorders>
              <w:top w:val="nil"/>
              <w:left w:val="nil"/>
              <w:bottom w:val="single" w:sz="4" w:space="0" w:color="auto"/>
              <w:right w:val="single" w:sz="4" w:space="0" w:color="auto"/>
            </w:tcBorders>
            <w:shd w:val="clear" w:color="000000" w:fill="E8E8E8"/>
            <w:noWrap/>
            <w:vAlign w:val="center"/>
            <w:hideMark/>
          </w:tcPr>
          <w:p w14:paraId="75B7E4AD"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0.99</w:t>
            </w:r>
          </w:p>
        </w:tc>
        <w:tc>
          <w:tcPr>
            <w:tcW w:w="845" w:type="dxa"/>
            <w:tcBorders>
              <w:top w:val="nil"/>
              <w:left w:val="nil"/>
              <w:bottom w:val="single" w:sz="4" w:space="0" w:color="auto"/>
              <w:right w:val="single" w:sz="4" w:space="0" w:color="auto"/>
            </w:tcBorders>
            <w:shd w:val="clear" w:color="000000" w:fill="E8E8E8"/>
            <w:noWrap/>
            <w:vAlign w:val="center"/>
            <w:hideMark/>
          </w:tcPr>
          <w:p w14:paraId="2ACCBA62"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0.98</w:t>
            </w:r>
          </w:p>
        </w:tc>
        <w:tc>
          <w:tcPr>
            <w:tcW w:w="1151" w:type="dxa"/>
            <w:tcBorders>
              <w:top w:val="nil"/>
              <w:left w:val="nil"/>
              <w:bottom w:val="single" w:sz="4" w:space="0" w:color="auto"/>
              <w:right w:val="single" w:sz="4" w:space="0" w:color="auto"/>
            </w:tcBorders>
            <w:shd w:val="clear" w:color="000000" w:fill="E8E8E8"/>
            <w:noWrap/>
            <w:vAlign w:val="center"/>
            <w:hideMark/>
          </w:tcPr>
          <w:p w14:paraId="0B170D0F" w14:textId="77777777" w:rsidR="00836700" w:rsidRPr="00836700" w:rsidRDefault="00836700" w:rsidP="00836700">
            <w:pPr>
              <w:spacing w:line="240" w:lineRule="auto"/>
              <w:jc w:val="center"/>
              <w:rPr>
                <w:rFonts w:ascii="Aptos Narrow" w:eastAsia="Times New Roman" w:hAnsi="Aptos Narrow" w:cs="Times New Roman"/>
                <w:b/>
                <w:bCs/>
                <w:color w:val="000000"/>
              </w:rPr>
            </w:pPr>
            <w:r w:rsidRPr="00836700">
              <w:rPr>
                <w:rFonts w:ascii="Aptos Narrow" w:eastAsia="Times New Roman" w:hAnsi="Aptos Narrow" w:cs="Times New Roman"/>
                <w:b/>
                <w:bCs/>
                <w:color w:val="000000"/>
              </w:rPr>
              <w:t>0.99</w:t>
            </w:r>
          </w:p>
        </w:tc>
        <w:tc>
          <w:tcPr>
            <w:tcW w:w="12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CA88E"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Sin TB</w:t>
            </w:r>
          </w:p>
        </w:tc>
      </w:tr>
      <w:tr w:rsidR="00836700" w:rsidRPr="00836700" w14:paraId="5A57054E" w14:textId="77777777" w:rsidTr="00836700">
        <w:trPr>
          <w:trHeight w:val="300"/>
          <w:jc w:val="center"/>
        </w:trPr>
        <w:tc>
          <w:tcPr>
            <w:tcW w:w="1108" w:type="dxa"/>
            <w:tcBorders>
              <w:top w:val="nil"/>
              <w:left w:val="single" w:sz="4" w:space="0" w:color="auto"/>
              <w:bottom w:val="single" w:sz="4" w:space="0" w:color="auto"/>
              <w:right w:val="single" w:sz="4" w:space="0" w:color="auto"/>
            </w:tcBorders>
            <w:shd w:val="clear" w:color="auto" w:fill="auto"/>
            <w:noWrap/>
            <w:vAlign w:val="center"/>
            <w:hideMark/>
          </w:tcPr>
          <w:p w14:paraId="0BF7E5E1"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1</w:t>
            </w:r>
          </w:p>
        </w:tc>
        <w:tc>
          <w:tcPr>
            <w:tcW w:w="1238" w:type="dxa"/>
            <w:tcBorders>
              <w:top w:val="nil"/>
              <w:left w:val="nil"/>
              <w:bottom w:val="single" w:sz="4" w:space="0" w:color="auto"/>
              <w:right w:val="single" w:sz="4" w:space="0" w:color="auto"/>
            </w:tcBorders>
            <w:shd w:val="clear" w:color="auto" w:fill="auto"/>
            <w:noWrap/>
            <w:vAlign w:val="center"/>
            <w:hideMark/>
          </w:tcPr>
          <w:p w14:paraId="403AA61B"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0.91</w:t>
            </w:r>
          </w:p>
        </w:tc>
        <w:tc>
          <w:tcPr>
            <w:tcW w:w="845" w:type="dxa"/>
            <w:tcBorders>
              <w:top w:val="nil"/>
              <w:left w:val="nil"/>
              <w:bottom w:val="single" w:sz="4" w:space="0" w:color="auto"/>
              <w:right w:val="single" w:sz="4" w:space="0" w:color="auto"/>
            </w:tcBorders>
            <w:shd w:val="clear" w:color="auto" w:fill="auto"/>
            <w:noWrap/>
            <w:vAlign w:val="center"/>
            <w:hideMark/>
          </w:tcPr>
          <w:p w14:paraId="25032A95"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0.97</w:t>
            </w:r>
          </w:p>
        </w:tc>
        <w:tc>
          <w:tcPr>
            <w:tcW w:w="1151" w:type="dxa"/>
            <w:tcBorders>
              <w:top w:val="nil"/>
              <w:left w:val="nil"/>
              <w:bottom w:val="single" w:sz="4" w:space="0" w:color="auto"/>
              <w:right w:val="single" w:sz="4" w:space="0" w:color="auto"/>
            </w:tcBorders>
            <w:shd w:val="clear" w:color="auto" w:fill="auto"/>
            <w:noWrap/>
            <w:vAlign w:val="center"/>
            <w:hideMark/>
          </w:tcPr>
          <w:p w14:paraId="058568A1" w14:textId="77777777" w:rsidR="00836700" w:rsidRPr="00836700" w:rsidRDefault="00836700" w:rsidP="00836700">
            <w:pPr>
              <w:spacing w:line="240" w:lineRule="auto"/>
              <w:jc w:val="center"/>
              <w:rPr>
                <w:rFonts w:ascii="Aptos Narrow" w:eastAsia="Times New Roman" w:hAnsi="Aptos Narrow" w:cs="Times New Roman"/>
                <w:color w:val="000000"/>
              </w:rPr>
            </w:pPr>
            <w:r w:rsidRPr="00836700">
              <w:rPr>
                <w:rFonts w:ascii="Aptos Narrow" w:eastAsia="Times New Roman" w:hAnsi="Aptos Narrow" w:cs="Times New Roman"/>
                <w:color w:val="000000"/>
              </w:rPr>
              <w:t>0.94</w:t>
            </w:r>
          </w:p>
        </w:tc>
        <w:tc>
          <w:tcPr>
            <w:tcW w:w="1278" w:type="dxa"/>
            <w:vMerge/>
            <w:tcBorders>
              <w:top w:val="nil"/>
              <w:left w:val="single" w:sz="4" w:space="0" w:color="auto"/>
              <w:bottom w:val="single" w:sz="4" w:space="0" w:color="auto"/>
              <w:right w:val="single" w:sz="4" w:space="0" w:color="auto"/>
            </w:tcBorders>
            <w:vAlign w:val="center"/>
            <w:hideMark/>
          </w:tcPr>
          <w:p w14:paraId="6A0B9B70" w14:textId="77777777" w:rsidR="00836700" w:rsidRPr="00836700" w:rsidRDefault="00836700" w:rsidP="00836700">
            <w:pPr>
              <w:spacing w:line="240" w:lineRule="auto"/>
              <w:rPr>
                <w:rFonts w:ascii="Aptos Narrow" w:eastAsia="Times New Roman" w:hAnsi="Aptos Narrow" w:cs="Times New Roman"/>
                <w:color w:val="000000"/>
              </w:rPr>
            </w:pPr>
          </w:p>
        </w:tc>
      </w:tr>
    </w:tbl>
    <w:p w14:paraId="71B03E81" w14:textId="72C47639" w:rsidR="007E63B0" w:rsidRDefault="007E63B0" w:rsidP="0014405D">
      <w:pPr>
        <w:jc w:val="both"/>
        <w:rPr>
          <w:bCs/>
          <w:sz w:val="24"/>
          <w:szCs w:val="24"/>
        </w:rPr>
      </w:pPr>
    </w:p>
    <w:p w14:paraId="1DBA57F7" w14:textId="2F6084CB" w:rsidR="00263223" w:rsidRDefault="00263223" w:rsidP="0014405D">
      <w:pPr>
        <w:jc w:val="both"/>
        <w:rPr>
          <w:bCs/>
          <w:sz w:val="24"/>
          <w:szCs w:val="24"/>
        </w:rPr>
      </w:pPr>
      <w:r w:rsidRPr="00263223">
        <w:rPr>
          <w:bCs/>
          <w:sz w:val="24"/>
          <w:szCs w:val="24"/>
        </w:rPr>
        <w:t>Desempeño en evaluación para grupo 1 (tienen tuberculosis)</w:t>
      </w:r>
      <w:r>
        <w:rPr>
          <w:bCs/>
          <w:sz w:val="24"/>
          <w:szCs w:val="24"/>
        </w:rPr>
        <w:t>:</w:t>
      </w:r>
    </w:p>
    <w:p w14:paraId="3B825AC4" w14:textId="77777777" w:rsidR="00263223" w:rsidRDefault="00263223" w:rsidP="00815816">
      <w:pPr>
        <w:pStyle w:val="Prrafodelista"/>
        <w:numPr>
          <w:ilvl w:val="0"/>
          <w:numId w:val="11"/>
        </w:numPr>
        <w:jc w:val="both"/>
        <w:rPr>
          <w:bCs/>
          <w:sz w:val="24"/>
          <w:szCs w:val="24"/>
        </w:rPr>
      </w:pPr>
      <w:proofErr w:type="spellStart"/>
      <w:r w:rsidRPr="00263223">
        <w:rPr>
          <w:bCs/>
          <w:sz w:val="24"/>
          <w:szCs w:val="24"/>
        </w:rPr>
        <w:lastRenderedPageBreak/>
        <w:t>Precision</w:t>
      </w:r>
      <w:proofErr w:type="spellEnd"/>
      <w:r w:rsidRPr="00263223">
        <w:rPr>
          <w:bCs/>
          <w:sz w:val="24"/>
          <w:szCs w:val="24"/>
        </w:rPr>
        <w:t>: el 98% de los que predecimos que tenían tuberculosis, efectivamente la tienen.</w:t>
      </w:r>
    </w:p>
    <w:p w14:paraId="06FBDE7D" w14:textId="77777777" w:rsidR="00263223" w:rsidRDefault="00263223" w:rsidP="0039781F">
      <w:pPr>
        <w:pStyle w:val="Prrafodelista"/>
        <w:numPr>
          <w:ilvl w:val="0"/>
          <w:numId w:val="11"/>
        </w:numPr>
        <w:jc w:val="both"/>
        <w:rPr>
          <w:bCs/>
          <w:sz w:val="24"/>
          <w:szCs w:val="24"/>
        </w:rPr>
      </w:pPr>
      <w:proofErr w:type="spellStart"/>
      <w:r w:rsidRPr="00263223">
        <w:rPr>
          <w:bCs/>
          <w:sz w:val="24"/>
          <w:szCs w:val="24"/>
        </w:rPr>
        <w:t>Recall</w:t>
      </w:r>
      <w:proofErr w:type="spellEnd"/>
      <w:r w:rsidRPr="00263223">
        <w:rPr>
          <w:bCs/>
          <w:sz w:val="24"/>
          <w:szCs w:val="24"/>
        </w:rPr>
        <w:t>: de los que tenían tuberculosis identificamos al 94%.</w:t>
      </w:r>
    </w:p>
    <w:p w14:paraId="08ADD3F9" w14:textId="77777777" w:rsidR="00263223" w:rsidRDefault="00263223" w:rsidP="006404A1">
      <w:pPr>
        <w:pStyle w:val="Prrafodelista"/>
        <w:numPr>
          <w:ilvl w:val="0"/>
          <w:numId w:val="11"/>
        </w:numPr>
        <w:jc w:val="both"/>
        <w:rPr>
          <w:bCs/>
          <w:sz w:val="24"/>
          <w:szCs w:val="24"/>
        </w:rPr>
      </w:pPr>
      <w:r w:rsidRPr="00263223">
        <w:rPr>
          <w:bCs/>
          <w:sz w:val="24"/>
          <w:szCs w:val="24"/>
        </w:rPr>
        <w:t xml:space="preserve">F1_score: promedio de </w:t>
      </w:r>
      <w:proofErr w:type="spellStart"/>
      <w:r w:rsidRPr="00263223">
        <w:rPr>
          <w:bCs/>
          <w:sz w:val="24"/>
          <w:szCs w:val="24"/>
        </w:rPr>
        <w:t>recall</w:t>
      </w:r>
      <w:proofErr w:type="spellEnd"/>
      <w:r w:rsidRPr="00263223">
        <w:rPr>
          <w:bCs/>
          <w:sz w:val="24"/>
          <w:szCs w:val="24"/>
        </w:rPr>
        <w:t>/</w:t>
      </w:r>
      <w:proofErr w:type="spellStart"/>
      <w:r w:rsidRPr="00263223">
        <w:rPr>
          <w:bCs/>
          <w:sz w:val="24"/>
          <w:szCs w:val="24"/>
        </w:rPr>
        <w:t>precision</w:t>
      </w:r>
      <w:proofErr w:type="spellEnd"/>
      <w:r w:rsidRPr="00263223">
        <w:rPr>
          <w:bCs/>
          <w:sz w:val="24"/>
          <w:szCs w:val="24"/>
        </w:rPr>
        <w:t xml:space="preserve"> es del 96%.</w:t>
      </w:r>
    </w:p>
    <w:p w14:paraId="481B773F" w14:textId="2DCF66F7" w:rsidR="00263223" w:rsidRPr="00263223" w:rsidRDefault="00263223" w:rsidP="006404A1">
      <w:pPr>
        <w:pStyle w:val="Prrafodelista"/>
        <w:numPr>
          <w:ilvl w:val="0"/>
          <w:numId w:val="11"/>
        </w:numPr>
        <w:jc w:val="both"/>
        <w:rPr>
          <w:bCs/>
          <w:sz w:val="24"/>
          <w:szCs w:val="24"/>
        </w:rPr>
      </w:pPr>
      <w:proofErr w:type="spellStart"/>
      <w:r w:rsidRPr="00263223">
        <w:rPr>
          <w:bCs/>
          <w:sz w:val="24"/>
          <w:szCs w:val="24"/>
        </w:rPr>
        <w:t>Accuracy</w:t>
      </w:r>
      <w:proofErr w:type="spellEnd"/>
      <w:r w:rsidRPr="00263223">
        <w:rPr>
          <w:bCs/>
          <w:sz w:val="24"/>
          <w:szCs w:val="24"/>
        </w:rPr>
        <w:t>: De todos los que predecimos, acertamos el 99%.</w:t>
      </w:r>
    </w:p>
    <w:p w14:paraId="60BA965C" w14:textId="77777777" w:rsidR="00263223" w:rsidRPr="00263223" w:rsidRDefault="00263223" w:rsidP="00263223">
      <w:pPr>
        <w:jc w:val="both"/>
        <w:rPr>
          <w:bCs/>
          <w:sz w:val="24"/>
          <w:szCs w:val="24"/>
        </w:rPr>
      </w:pPr>
    </w:p>
    <w:p w14:paraId="1BF5C908" w14:textId="71272587" w:rsidR="0014405D" w:rsidRDefault="00263223" w:rsidP="00263223">
      <w:pPr>
        <w:jc w:val="both"/>
        <w:rPr>
          <w:bCs/>
          <w:sz w:val="24"/>
          <w:szCs w:val="24"/>
        </w:rPr>
      </w:pPr>
      <w:r w:rsidRPr="00263223">
        <w:rPr>
          <w:bCs/>
          <w:sz w:val="24"/>
          <w:szCs w:val="24"/>
        </w:rPr>
        <w:t>El modelo propuesto identificará al 94% de los pacientes con tuberculosis de forma automática, con un error del 2% en pacientes identificados con tuberculosis.</w:t>
      </w:r>
    </w:p>
    <w:p w14:paraId="789700F2" w14:textId="77777777" w:rsidR="00263223" w:rsidRDefault="00263223" w:rsidP="00263223">
      <w:pPr>
        <w:jc w:val="both"/>
        <w:rPr>
          <w:bCs/>
          <w:sz w:val="24"/>
          <w:szCs w:val="24"/>
        </w:rPr>
      </w:pPr>
    </w:p>
    <w:p w14:paraId="2DA4B863" w14:textId="6B181AFD" w:rsidR="007E63B0" w:rsidRDefault="007E63B0" w:rsidP="007E63B0">
      <w:pPr>
        <w:jc w:val="both"/>
        <w:rPr>
          <w:bCs/>
          <w:sz w:val="24"/>
          <w:szCs w:val="24"/>
        </w:rPr>
      </w:pPr>
      <w:r w:rsidRPr="00263223">
        <w:rPr>
          <w:bCs/>
          <w:sz w:val="24"/>
          <w:szCs w:val="24"/>
        </w:rPr>
        <w:t xml:space="preserve">Desempeño en evaluación para grupo </w:t>
      </w:r>
      <w:r>
        <w:rPr>
          <w:bCs/>
          <w:sz w:val="24"/>
          <w:szCs w:val="24"/>
        </w:rPr>
        <w:t>2</w:t>
      </w:r>
      <w:r w:rsidRPr="00263223">
        <w:rPr>
          <w:bCs/>
          <w:sz w:val="24"/>
          <w:szCs w:val="24"/>
        </w:rPr>
        <w:t xml:space="preserve"> (</w:t>
      </w:r>
      <w:r>
        <w:rPr>
          <w:bCs/>
          <w:sz w:val="24"/>
          <w:szCs w:val="24"/>
        </w:rPr>
        <w:t xml:space="preserve">No </w:t>
      </w:r>
      <w:r w:rsidRPr="00263223">
        <w:rPr>
          <w:bCs/>
          <w:sz w:val="24"/>
          <w:szCs w:val="24"/>
        </w:rPr>
        <w:t>tienen tuberculosis)</w:t>
      </w:r>
      <w:r>
        <w:rPr>
          <w:bCs/>
          <w:sz w:val="24"/>
          <w:szCs w:val="24"/>
        </w:rPr>
        <w:t>:</w:t>
      </w:r>
    </w:p>
    <w:p w14:paraId="09BCB823" w14:textId="77777777" w:rsidR="007E63B0" w:rsidRDefault="007E63B0" w:rsidP="002164BF">
      <w:pPr>
        <w:pStyle w:val="Prrafodelista"/>
        <w:numPr>
          <w:ilvl w:val="0"/>
          <w:numId w:val="11"/>
        </w:numPr>
        <w:jc w:val="both"/>
        <w:rPr>
          <w:bCs/>
          <w:sz w:val="24"/>
          <w:szCs w:val="24"/>
        </w:rPr>
      </w:pPr>
      <w:proofErr w:type="spellStart"/>
      <w:r w:rsidRPr="007E63B0">
        <w:rPr>
          <w:bCs/>
          <w:sz w:val="24"/>
          <w:szCs w:val="24"/>
        </w:rPr>
        <w:t>Precision</w:t>
      </w:r>
      <w:proofErr w:type="spellEnd"/>
      <w:r w:rsidRPr="007E63B0">
        <w:rPr>
          <w:bCs/>
          <w:sz w:val="24"/>
          <w:szCs w:val="24"/>
        </w:rPr>
        <w:t>: el 99% de los que predecimos que tenían tuberculosis, efectivamente la tienen.</w:t>
      </w:r>
    </w:p>
    <w:p w14:paraId="41815103" w14:textId="77777777" w:rsidR="007E63B0" w:rsidRDefault="007E63B0" w:rsidP="000B2F94">
      <w:pPr>
        <w:pStyle w:val="Prrafodelista"/>
        <w:numPr>
          <w:ilvl w:val="0"/>
          <w:numId w:val="11"/>
        </w:numPr>
        <w:jc w:val="both"/>
        <w:rPr>
          <w:bCs/>
          <w:sz w:val="24"/>
          <w:szCs w:val="24"/>
        </w:rPr>
      </w:pPr>
      <w:proofErr w:type="spellStart"/>
      <w:r w:rsidRPr="007E63B0">
        <w:rPr>
          <w:bCs/>
          <w:sz w:val="24"/>
          <w:szCs w:val="24"/>
        </w:rPr>
        <w:t>Recall</w:t>
      </w:r>
      <w:proofErr w:type="spellEnd"/>
      <w:r w:rsidRPr="007E63B0">
        <w:rPr>
          <w:bCs/>
          <w:sz w:val="24"/>
          <w:szCs w:val="24"/>
        </w:rPr>
        <w:t>: de los que tenían tuberculosis identificamos al 98%.</w:t>
      </w:r>
    </w:p>
    <w:p w14:paraId="1DDE6D05" w14:textId="77777777" w:rsidR="007E63B0" w:rsidRDefault="007E63B0" w:rsidP="003B43D8">
      <w:pPr>
        <w:pStyle w:val="Prrafodelista"/>
        <w:numPr>
          <w:ilvl w:val="0"/>
          <w:numId w:val="11"/>
        </w:numPr>
        <w:jc w:val="both"/>
        <w:rPr>
          <w:bCs/>
          <w:sz w:val="24"/>
          <w:szCs w:val="24"/>
        </w:rPr>
      </w:pPr>
      <w:r w:rsidRPr="007E63B0">
        <w:rPr>
          <w:bCs/>
          <w:sz w:val="24"/>
          <w:szCs w:val="24"/>
        </w:rPr>
        <w:t xml:space="preserve">F1_score: promedio de </w:t>
      </w:r>
      <w:proofErr w:type="spellStart"/>
      <w:r w:rsidRPr="007E63B0">
        <w:rPr>
          <w:bCs/>
          <w:sz w:val="24"/>
          <w:szCs w:val="24"/>
        </w:rPr>
        <w:t>recall</w:t>
      </w:r>
      <w:proofErr w:type="spellEnd"/>
      <w:r w:rsidRPr="007E63B0">
        <w:rPr>
          <w:bCs/>
          <w:sz w:val="24"/>
          <w:szCs w:val="24"/>
        </w:rPr>
        <w:t>/</w:t>
      </w:r>
      <w:proofErr w:type="spellStart"/>
      <w:r w:rsidRPr="007E63B0">
        <w:rPr>
          <w:bCs/>
          <w:sz w:val="24"/>
          <w:szCs w:val="24"/>
        </w:rPr>
        <w:t>precision</w:t>
      </w:r>
      <w:proofErr w:type="spellEnd"/>
      <w:r w:rsidRPr="007E63B0">
        <w:rPr>
          <w:bCs/>
          <w:sz w:val="24"/>
          <w:szCs w:val="24"/>
        </w:rPr>
        <w:t xml:space="preserve"> es del 99%.</w:t>
      </w:r>
    </w:p>
    <w:p w14:paraId="2CAF9251" w14:textId="3327EDE6" w:rsidR="007E63B0" w:rsidRPr="007E63B0" w:rsidRDefault="007E63B0" w:rsidP="003B43D8">
      <w:pPr>
        <w:pStyle w:val="Prrafodelista"/>
        <w:numPr>
          <w:ilvl w:val="0"/>
          <w:numId w:val="11"/>
        </w:numPr>
        <w:jc w:val="both"/>
        <w:rPr>
          <w:bCs/>
          <w:sz w:val="24"/>
          <w:szCs w:val="24"/>
        </w:rPr>
      </w:pPr>
      <w:proofErr w:type="spellStart"/>
      <w:r w:rsidRPr="007E63B0">
        <w:rPr>
          <w:bCs/>
          <w:sz w:val="24"/>
          <w:szCs w:val="24"/>
        </w:rPr>
        <w:t>Accuracy</w:t>
      </w:r>
      <w:proofErr w:type="spellEnd"/>
      <w:r w:rsidRPr="007E63B0">
        <w:rPr>
          <w:bCs/>
          <w:sz w:val="24"/>
          <w:szCs w:val="24"/>
        </w:rPr>
        <w:t>: De todos los que predecimos, acertamos el 98%.</w:t>
      </w:r>
    </w:p>
    <w:p w14:paraId="668CEDB6" w14:textId="77777777" w:rsidR="007E63B0" w:rsidRPr="007E63B0" w:rsidRDefault="007E63B0" w:rsidP="007E63B0">
      <w:pPr>
        <w:jc w:val="both"/>
        <w:rPr>
          <w:bCs/>
          <w:sz w:val="24"/>
          <w:szCs w:val="24"/>
        </w:rPr>
      </w:pPr>
    </w:p>
    <w:p w14:paraId="73705DBB" w14:textId="0BF0BE38" w:rsidR="00263223" w:rsidRDefault="007E63B0" w:rsidP="007E63B0">
      <w:pPr>
        <w:jc w:val="both"/>
        <w:rPr>
          <w:bCs/>
          <w:sz w:val="24"/>
          <w:szCs w:val="24"/>
        </w:rPr>
      </w:pPr>
      <w:r w:rsidRPr="007E63B0">
        <w:rPr>
          <w:bCs/>
          <w:sz w:val="24"/>
          <w:szCs w:val="24"/>
        </w:rPr>
        <w:t>El modelo propuesto identificará al 94% de los pacientes sin tuberculosis de forma automática</w:t>
      </w:r>
      <w:r w:rsidRPr="007E63B0">
        <w:t xml:space="preserve"> </w:t>
      </w:r>
      <w:r w:rsidRPr="007E63B0">
        <w:rPr>
          <w:bCs/>
          <w:sz w:val="24"/>
          <w:szCs w:val="24"/>
        </w:rPr>
        <w:t>con un error del 1% en pacientes identificados erróneamente como sin tuberculosis.</w:t>
      </w:r>
    </w:p>
    <w:p w14:paraId="73E397EE" w14:textId="77777777" w:rsidR="007E63B0" w:rsidRDefault="007E63B0" w:rsidP="007E63B0">
      <w:pPr>
        <w:jc w:val="both"/>
        <w:rPr>
          <w:bCs/>
          <w:sz w:val="24"/>
          <w:szCs w:val="24"/>
        </w:rPr>
      </w:pPr>
    </w:p>
    <w:p w14:paraId="7CF6C4D5" w14:textId="46CAB1AC" w:rsidR="007E63B0" w:rsidRPr="007E63B0" w:rsidRDefault="007E63B0" w:rsidP="007E63B0">
      <w:pPr>
        <w:jc w:val="both"/>
        <w:rPr>
          <w:bCs/>
          <w:sz w:val="24"/>
          <w:szCs w:val="24"/>
        </w:rPr>
      </w:pPr>
      <w:r>
        <w:rPr>
          <w:bCs/>
          <w:sz w:val="24"/>
          <w:szCs w:val="24"/>
        </w:rPr>
        <w:t xml:space="preserve">Finalmente, </w:t>
      </w:r>
      <w:r w:rsidRPr="007E63B0">
        <w:rPr>
          <w:bCs/>
          <w:sz w:val="24"/>
          <w:szCs w:val="24"/>
        </w:rPr>
        <w:t>El modelo identificará tres grupos de pacientes:</w:t>
      </w:r>
    </w:p>
    <w:p w14:paraId="4F543056" w14:textId="77777777" w:rsidR="007E63B0" w:rsidRDefault="007E63B0" w:rsidP="007E63B0">
      <w:pPr>
        <w:pStyle w:val="Prrafodelista"/>
        <w:numPr>
          <w:ilvl w:val="0"/>
          <w:numId w:val="11"/>
        </w:numPr>
        <w:jc w:val="both"/>
        <w:rPr>
          <w:bCs/>
          <w:sz w:val="24"/>
          <w:szCs w:val="24"/>
        </w:rPr>
      </w:pPr>
      <w:r w:rsidRPr="007E63B0">
        <w:rPr>
          <w:bCs/>
          <w:sz w:val="24"/>
          <w:szCs w:val="24"/>
        </w:rPr>
        <w:t>El 82% de los pacientes detectados con tuberculosis por el modelo.</w:t>
      </w:r>
    </w:p>
    <w:p w14:paraId="4E0FCA01" w14:textId="77777777" w:rsidR="007E63B0" w:rsidRDefault="007E63B0" w:rsidP="007E63B0">
      <w:pPr>
        <w:pStyle w:val="Prrafodelista"/>
        <w:numPr>
          <w:ilvl w:val="0"/>
          <w:numId w:val="11"/>
        </w:numPr>
        <w:jc w:val="both"/>
        <w:rPr>
          <w:bCs/>
          <w:sz w:val="24"/>
          <w:szCs w:val="24"/>
        </w:rPr>
      </w:pPr>
      <w:r w:rsidRPr="007E63B0">
        <w:rPr>
          <w:bCs/>
          <w:sz w:val="24"/>
          <w:szCs w:val="24"/>
        </w:rPr>
        <w:t>El 3% de pacientes detectados como sin tuberculosis por el modelo.</w:t>
      </w:r>
    </w:p>
    <w:p w14:paraId="5F935B3A" w14:textId="5D101C05" w:rsidR="007E63B0" w:rsidRPr="007E63B0" w:rsidRDefault="007E63B0" w:rsidP="007E63B0">
      <w:pPr>
        <w:pStyle w:val="Prrafodelista"/>
        <w:numPr>
          <w:ilvl w:val="0"/>
          <w:numId w:val="11"/>
        </w:numPr>
        <w:jc w:val="both"/>
        <w:rPr>
          <w:bCs/>
          <w:sz w:val="24"/>
          <w:szCs w:val="24"/>
        </w:rPr>
      </w:pPr>
      <w:r w:rsidRPr="007E63B0">
        <w:rPr>
          <w:bCs/>
          <w:sz w:val="24"/>
          <w:szCs w:val="24"/>
        </w:rPr>
        <w:t>El 15% de pacientes que seguirán el procedimiento actual.</w:t>
      </w:r>
    </w:p>
    <w:p w14:paraId="3BC0EC0B" w14:textId="77777777" w:rsidR="00BA29B6" w:rsidRDefault="00BA29B6" w:rsidP="002749F5">
      <w:pPr>
        <w:jc w:val="both"/>
        <w:rPr>
          <w:b/>
          <w:sz w:val="24"/>
          <w:szCs w:val="24"/>
        </w:rPr>
      </w:pPr>
    </w:p>
    <w:p w14:paraId="67DBD6D2" w14:textId="77777777" w:rsidR="003B6786" w:rsidRDefault="00123D3D" w:rsidP="003B6786">
      <w:pPr>
        <w:jc w:val="both"/>
        <w:rPr>
          <w:sz w:val="24"/>
          <w:szCs w:val="24"/>
        </w:rPr>
      </w:pPr>
      <w:r w:rsidRPr="003025B7">
        <w:rPr>
          <w:b/>
          <w:bCs/>
          <w:sz w:val="24"/>
          <w:szCs w:val="24"/>
          <w:highlight w:val="white"/>
        </w:rPr>
        <w:t>Bibliografía</w:t>
      </w:r>
      <w:r>
        <w:rPr>
          <w:sz w:val="24"/>
          <w:szCs w:val="24"/>
          <w:highlight w:val="white"/>
        </w:rPr>
        <w:t>:</w:t>
      </w:r>
    </w:p>
    <w:p w14:paraId="5A4C742F" w14:textId="2365F9DD" w:rsidR="00FB7BC4" w:rsidRPr="00FB7BC4" w:rsidRDefault="003B6786" w:rsidP="00FB7BC4">
      <w:pPr>
        <w:pStyle w:val="Prrafodelista"/>
        <w:numPr>
          <w:ilvl w:val="0"/>
          <w:numId w:val="11"/>
        </w:numPr>
        <w:rPr>
          <w:sz w:val="24"/>
          <w:szCs w:val="24"/>
          <w:highlight w:val="white"/>
        </w:rPr>
      </w:pPr>
      <w:r w:rsidRPr="00FB7BC4">
        <w:rPr>
          <w:sz w:val="24"/>
          <w:szCs w:val="24"/>
        </w:rPr>
        <w:t xml:space="preserve">Según la Organización Mundial de la Salud (OMS), la tuberculosis es una enfermedad infecciosa causada por la bacteria </w:t>
      </w:r>
      <w:proofErr w:type="spellStart"/>
      <w:r w:rsidRPr="00FB7BC4">
        <w:rPr>
          <w:sz w:val="24"/>
          <w:szCs w:val="24"/>
        </w:rPr>
        <w:t>Mycobacterium</w:t>
      </w:r>
      <w:proofErr w:type="spellEnd"/>
      <w:r w:rsidRPr="00FB7BC4">
        <w:rPr>
          <w:sz w:val="24"/>
          <w:szCs w:val="24"/>
        </w:rPr>
        <w:t xml:space="preserve"> tuberculosis. Más información en: </w:t>
      </w:r>
      <w:hyperlink r:id="rId9" w:history="1">
        <w:r w:rsidRPr="00FB7BC4">
          <w:rPr>
            <w:rStyle w:val="Hipervnculo"/>
            <w:sz w:val="24"/>
            <w:szCs w:val="24"/>
            <w:highlight w:val="white"/>
          </w:rPr>
          <w:t>https://www.who.int/es/news-room/fact-sheets/detail/tuberculosis#:~:text=La%20tuberculosis%20es%20una%20enfermedad,se%20puede%20prevenir%20y%20curar</w:t>
        </w:r>
      </w:hyperlink>
      <w:r w:rsidR="00000000" w:rsidRPr="00FB7BC4">
        <w:rPr>
          <w:sz w:val="24"/>
          <w:szCs w:val="24"/>
          <w:highlight w:val="white"/>
        </w:rPr>
        <w:t>.</w:t>
      </w:r>
    </w:p>
    <w:p w14:paraId="23125E2B" w14:textId="4593C6D4" w:rsidR="00FB7BC4" w:rsidRPr="00FB7BC4" w:rsidRDefault="00FB7BC4" w:rsidP="00FB7BC4">
      <w:pPr>
        <w:pStyle w:val="Prrafodelista"/>
        <w:numPr>
          <w:ilvl w:val="0"/>
          <w:numId w:val="11"/>
        </w:numPr>
        <w:rPr>
          <w:sz w:val="24"/>
          <w:szCs w:val="24"/>
          <w:u w:val="single"/>
        </w:rPr>
      </w:pPr>
      <w:hyperlink r:id="rId10" w:history="1">
        <w:r w:rsidRPr="00706BDA">
          <w:rPr>
            <w:rStyle w:val="Hipervnculo"/>
            <w:sz w:val="24"/>
            <w:szCs w:val="24"/>
            <w:highlight w:val="white"/>
          </w:rPr>
          <w:t>https://ieeex</w:t>
        </w:r>
        <w:r w:rsidRPr="00706BDA">
          <w:rPr>
            <w:rStyle w:val="Hipervnculo"/>
            <w:sz w:val="24"/>
            <w:szCs w:val="24"/>
            <w:highlight w:val="white"/>
          </w:rPr>
          <w:t>plore.ieee.org/abstract/document/6616679/figures#figures</w:t>
        </w:r>
      </w:hyperlink>
    </w:p>
    <w:p w14:paraId="0D220C85" w14:textId="77777777" w:rsidR="00FB7BC4" w:rsidRPr="00FB7BC4" w:rsidRDefault="00FB7BC4" w:rsidP="00FB7BC4">
      <w:pPr>
        <w:pStyle w:val="Prrafodelista"/>
        <w:numPr>
          <w:ilvl w:val="0"/>
          <w:numId w:val="11"/>
        </w:numPr>
        <w:rPr>
          <w:sz w:val="24"/>
          <w:szCs w:val="24"/>
          <w:highlight w:val="white"/>
          <w:u w:val="single"/>
        </w:rPr>
      </w:pPr>
      <w:r w:rsidRPr="00FB7BC4">
        <w:rPr>
          <w:sz w:val="24"/>
          <w:szCs w:val="24"/>
        </w:rPr>
        <w:t xml:space="preserve">Para obtener información sobre la detección y diagnóstico de la infección latente por tuberculosis, consulta el sitio web de los Centros para el Control y la Prevención de Enfermedades (CDC) en: </w:t>
      </w:r>
      <w:hyperlink r:id="rId11" w:history="1">
        <w:r w:rsidRPr="00FB7BC4">
          <w:rPr>
            <w:rStyle w:val="Hipervnculo"/>
            <w:sz w:val="24"/>
            <w:szCs w:val="24"/>
            <w:highlight w:val="white"/>
          </w:rPr>
          <w:t>https://www.cdc.gov/tb/esp/topic/testing/diagnosingltbi.htm</w:t>
        </w:r>
      </w:hyperlink>
    </w:p>
    <w:p w14:paraId="69D24D76" w14:textId="19026D26" w:rsidR="00D64F0C" w:rsidRPr="00FB7BC4" w:rsidRDefault="00FB7BC4" w:rsidP="00FB7BC4">
      <w:pPr>
        <w:pStyle w:val="Prrafodelista"/>
        <w:numPr>
          <w:ilvl w:val="0"/>
          <w:numId w:val="11"/>
        </w:numPr>
        <w:rPr>
          <w:sz w:val="24"/>
          <w:szCs w:val="24"/>
          <w:highlight w:val="white"/>
          <w:u w:val="single"/>
        </w:rPr>
      </w:pPr>
      <w:r w:rsidRPr="00FB7BC4">
        <w:rPr>
          <w:sz w:val="24"/>
          <w:szCs w:val="24"/>
        </w:rPr>
        <w:t>Para obtener información sobre la tuberculosis, incluyendo datos actualizados y recomendaciones, visita el sitio web de la Organización Panamericana de la Salud (OPS/OMS) en:</w:t>
      </w:r>
      <w:r w:rsidRPr="00FB7BC4">
        <w:rPr>
          <w:sz w:val="24"/>
          <w:szCs w:val="24"/>
          <w:u w:val="single"/>
        </w:rPr>
        <w:t xml:space="preserve"> </w:t>
      </w:r>
      <w:hyperlink r:id="rId12" w:history="1">
        <w:r w:rsidRPr="00FB7BC4">
          <w:rPr>
            <w:rStyle w:val="Hipervnculo"/>
            <w:sz w:val="24"/>
            <w:szCs w:val="24"/>
          </w:rPr>
          <w:t>https://www.paho.org/es/temas/tuberculosis#:~:text=En%20las%20personas%20sanas%2C%20la,act%C3%BAa%20para%20bloquear%20la%20bacteria.&amp;text=En%202022%2C%20la%20tuberculosis%20se,despu%C3%A9s%20de%20la%20COVID%2D19</w:t>
        </w:r>
      </w:hyperlink>
      <w:r w:rsidRPr="00FB7BC4">
        <w:rPr>
          <w:sz w:val="24"/>
          <w:szCs w:val="24"/>
          <w:u w:val="single"/>
        </w:rPr>
        <w:t xml:space="preserve"> </w:t>
      </w:r>
    </w:p>
    <w:sectPr w:rsidR="00D64F0C" w:rsidRPr="00FB7BC4">
      <w:headerReference w:type="even" r:id="rId13"/>
      <w:headerReference w:type="default" r:id="rId14"/>
      <w:footerReference w:type="even" r:id="rId15"/>
      <w:footerReference w:type="default" r:id="rId16"/>
      <w:headerReference w:type="first" r:id="rId17"/>
      <w:footerReference w:type="first" r:id="rId18"/>
      <w:pgSz w:w="11909" w:h="16834"/>
      <w:pgMar w:top="1440" w:right="973" w:bottom="806" w:left="144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F7A84" w14:textId="77777777" w:rsidR="00E71CD7" w:rsidRDefault="00E71CD7">
      <w:pPr>
        <w:spacing w:line="240" w:lineRule="auto"/>
      </w:pPr>
      <w:r>
        <w:separator/>
      </w:r>
    </w:p>
  </w:endnote>
  <w:endnote w:type="continuationSeparator" w:id="0">
    <w:p w14:paraId="16A0E61B" w14:textId="77777777" w:rsidR="00E71CD7" w:rsidRDefault="00E71C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3C0D849-3CCE-4E55-A98E-196C01ED8AFE}"/>
  </w:font>
  <w:font w:name="Segoe UI">
    <w:panose1 w:val="020B0502040204020203"/>
    <w:charset w:val="00"/>
    <w:family w:val="swiss"/>
    <w:pitch w:val="variable"/>
    <w:sig w:usb0="E4002EFF" w:usb1="C000E47F" w:usb2="00000009" w:usb3="00000000" w:csb0="000001FF" w:csb1="00000000"/>
    <w:embedRegular r:id="rId2" w:fontKey="{E22E6A51-C540-4543-AEBF-E698E1075E56}"/>
  </w:font>
  <w:font w:name="Aptos Narrow">
    <w:charset w:val="00"/>
    <w:family w:val="swiss"/>
    <w:pitch w:val="variable"/>
    <w:sig w:usb0="20000287" w:usb1="00000003" w:usb2="00000000" w:usb3="00000000" w:csb0="0000019F" w:csb1="00000000"/>
    <w:embedRegular r:id="rId3" w:fontKey="{FFE8866D-E12C-4BD9-8850-2411B3F0CFB6}"/>
    <w:embedBold r:id="rId4" w:fontKey="{192E5252-BE61-4E0F-8C71-80474245920C}"/>
  </w:font>
  <w:font w:name="Calibri">
    <w:panose1 w:val="020F0502020204030204"/>
    <w:charset w:val="00"/>
    <w:family w:val="swiss"/>
    <w:pitch w:val="variable"/>
    <w:sig w:usb0="E4002EFF" w:usb1="C200247B" w:usb2="00000009" w:usb3="00000000" w:csb0="000001FF" w:csb1="00000000"/>
    <w:embedRegular r:id="rId5" w:fontKey="{AD6FC9C0-1568-4EAB-8E6A-C4450DF0A4D5}"/>
  </w:font>
  <w:font w:name="Cambria">
    <w:panose1 w:val="02040503050406030204"/>
    <w:charset w:val="00"/>
    <w:family w:val="roman"/>
    <w:pitch w:val="variable"/>
    <w:sig w:usb0="E00006FF" w:usb1="420024FF" w:usb2="02000000" w:usb3="00000000" w:csb0="0000019F" w:csb1="00000000"/>
    <w:embedRegular r:id="rId6" w:fontKey="{0C3A6B46-8789-4A12-B131-5FFB519ACC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C4F24" w14:textId="77777777" w:rsidR="00BA29B6" w:rsidRDefault="00BA29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D6C8B" w14:textId="77777777" w:rsidR="00BA29B6" w:rsidRDefault="00BA29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76FBC" w14:textId="77777777" w:rsidR="00BA29B6" w:rsidRDefault="00BA29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5D7EF" w14:textId="77777777" w:rsidR="00E71CD7" w:rsidRDefault="00E71CD7">
      <w:pPr>
        <w:spacing w:line="240" w:lineRule="auto"/>
      </w:pPr>
      <w:r>
        <w:separator/>
      </w:r>
    </w:p>
  </w:footnote>
  <w:footnote w:type="continuationSeparator" w:id="0">
    <w:p w14:paraId="46C00F2F" w14:textId="77777777" w:rsidR="00E71CD7" w:rsidRDefault="00E71C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6025E" w14:textId="77777777" w:rsidR="00BA29B6" w:rsidRDefault="00BA29B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43CF2" w14:textId="16D538FF" w:rsidR="00D64F0C" w:rsidRPr="000B457F" w:rsidRDefault="00000000">
    <w:pPr>
      <w:rPr>
        <w:bCs/>
        <w:color w:val="666666"/>
        <w:sz w:val="20"/>
        <w:szCs w:val="20"/>
      </w:rPr>
    </w:pPr>
    <w:r w:rsidRPr="000B457F">
      <w:rPr>
        <w:bCs/>
        <w:noProof/>
        <w:sz w:val="20"/>
        <w:szCs w:val="20"/>
      </w:rPr>
      <w:drawing>
        <wp:anchor distT="114300" distB="114300" distL="114300" distR="114300" simplePos="0" relativeHeight="251658240" behindDoc="0" locked="0" layoutInCell="1" hidden="0" allowOverlap="1" wp14:anchorId="0CD049B4" wp14:editId="312F9113">
          <wp:simplePos x="0" y="0"/>
          <wp:positionH relativeFrom="margin">
            <wp:posOffset>9525</wp:posOffset>
          </wp:positionH>
          <wp:positionV relativeFrom="paragraph">
            <wp:posOffset>-28575</wp:posOffset>
          </wp:positionV>
          <wp:extent cx="600075" cy="714375"/>
          <wp:effectExtent l="0" t="0" r="9525" b="9525"/>
          <wp:wrapSquare wrapText="bothSides" distT="114300" distB="114300" distL="114300" distR="114300"/>
          <wp:docPr id="13625362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00075" cy="714375"/>
                  </a:xfrm>
                  <a:prstGeom prst="rect">
                    <a:avLst/>
                  </a:prstGeom>
                  <a:ln/>
                </pic:spPr>
              </pic:pic>
            </a:graphicData>
          </a:graphic>
          <wp14:sizeRelH relativeFrom="margin">
            <wp14:pctWidth>0</wp14:pctWidth>
          </wp14:sizeRelH>
          <wp14:sizeRelV relativeFrom="margin">
            <wp14:pctHeight>0</wp14:pctHeight>
          </wp14:sizeRelV>
        </wp:anchor>
      </w:drawing>
    </w:r>
    <w:r w:rsidRPr="000B457F">
      <w:rPr>
        <w:bCs/>
        <w:color w:val="666666"/>
        <w:sz w:val="20"/>
        <w:szCs w:val="20"/>
      </w:rPr>
      <w:t>Facultad de Ingeniería</w:t>
    </w:r>
  </w:p>
  <w:p w14:paraId="22830B40" w14:textId="77777777" w:rsidR="00D64F0C" w:rsidRPr="000B457F" w:rsidRDefault="00000000">
    <w:pPr>
      <w:rPr>
        <w:bCs/>
        <w:color w:val="666666"/>
        <w:sz w:val="20"/>
        <w:szCs w:val="20"/>
      </w:rPr>
    </w:pPr>
    <w:r w:rsidRPr="000B457F">
      <w:rPr>
        <w:bCs/>
        <w:color w:val="666666"/>
        <w:sz w:val="20"/>
        <w:szCs w:val="20"/>
      </w:rPr>
      <w:t>Departamento de Ingeniería Industrial</w:t>
    </w:r>
  </w:p>
  <w:p w14:paraId="185348FB" w14:textId="77777777" w:rsidR="00D64F0C" w:rsidRPr="000B457F" w:rsidRDefault="00000000">
    <w:pPr>
      <w:rPr>
        <w:bCs/>
        <w:color w:val="666666"/>
        <w:sz w:val="20"/>
        <w:szCs w:val="20"/>
      </w:rPr>
    </w:pPr>
    <w:r w:rsidRPr="000B457F">
      <w:rPr>
        <w:bCs/>
        <w:color w:val="666666"/>
        <w:sz w:val="20"/>
        <w:szCs w:val="20"/>
      </w:rPr>
      <w:t>Aplicaciones en analítica</w:t>
    </w:r>
  </w:p>
  <w:p w14:paraId="4E237789" w14:textId="6878083D" w:rsidR="00D64F0C" w:rsidRDefault="00000000">
    <w:pPr>
      <w:rPr>
        <w:bCs/>
        <w:color w:val="666666"/>
        <w:sz w:val="20"/>
        <w:szCs w:val="20"/>
      </w:rPr>
    </w:pPr>
    <w:r w:rsidRPr="000B457F">
      <w:rPr>
        <w:bCs/>
        <w:color w:val="666666"/>
        <w:sz w:val="20"/>
        <w:szCs w:val="20"/>
      </w:rPr>
      <w:t>Analítica en Salu</w:t>
    </w:r>
    <w:r w:rsidR="000B457F">
      <w:rPr>
        <w:bCs/>
        <w:color w:val="666666"/>
        <w:sz w:val="20"/>
        <w:szCs w:val="20"/>
      </w:rPr>
      <w:t>d</w:t>
    </w:r>
  </w:p>
  <w:p w14:paraId="5400C75C" w14:textId="77777777" w:rsidR="000B457F" w:rsidRPr="000B457F" w:rsidRDefault="000B457F">
    <w:pPr>
      <w:rPr>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809FC" w14:textId="77777777" w:rsidR="00BA29B6" w:rsidRDefault="00BA29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842C7"/>
    <w:multiLevelType w:val="hybridMultilevel"/>
    <w:tmpl w:val="CD887ED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3371E8A"/>
    <w:multiLevelType w:val="hybridMultilevel"/>
    <w:tmpl w:val="7D7A55DE"/>
    <w:lvl w:ilvl="0" w:tplc="474A4A36">
      <w:start w:val="1"/>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B6D36B4"/>
    <w:multiLevelType w:val="hybridMultilevel"/>
    <w:tmpl w:val="178EFF76"/>
    <w:lvl w:ilvl="0" w:tplc="77185602">
      <w:start w:val="1"/>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792FAB"/>
    <w:multiLevelType w:val="multilevel"/>
    <w:tmpl w:val="E99A5316"/>
    <w:lvl w:ilvl="0">
      <w:start w:val="1"/>
      <w:numFmt w:val="decimal"/>
      <w:lvlText w:val="%1."/>
      <w:lvlJc w:val="left"/>
      <w:pPr>
        <w:ind w:left="780" w:hanging="360"/>
      </w:pPr>
    </w:lvl>
    <w:lvl w:ilvl="1">
      <w:start w:val="1"/>
      <w:numFmt w:val="bullet"/>
      <w:lvlText w:val="●"/>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 w15:restartNumberingAfterBreak="0">
    <w:nsid w:val="319157C6"/>
    <w:multiLevelType w:val="multilevel"/>
    <w:tmpl w:val="436CE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110056"/>
    <w:multiLevelType w:val="multilevel"/>
    <w:tmpl w:val="3DE6F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101233"/>
    <w:multiLevelType w:val="multilevel"/>
    <w:tmpl w:val="AF20F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E102FA8"/>
    <w:multiLevelType w:val="multilevel"/>
    <w:tmpl w:val="9056B170"/>
    <w:lvl w:ilvl="0">
      <w:start w:val="1"/>
      <w:numFmt w:val="decimal"/>
      <w:lvlText w:val="%1."/>
      <w:lvlJc w:val="left"/>
      <w:pPr>
        <w:ind w:left="780" w:hanging="360"/>
      </w:pPr>
    </w:lvl>
    <w:lvl w:ilvl="1">
      <w:start w:val="1"/>
      <w:numFmt w:val="bullet"/>
      <w:lvlText w:val="o"/>
      <w:lvlJc w:val="left"/>
      <w:pPr>
        <w:ind w:left="1500" w:hanging="360"/>
      </w:pPr>
      <w:rPr>
        <w:rFonts w:ascii="Courier New" w:hAnsi="Courier New" w:cs="Courier New" w:hint="default"/>
      </w:r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 w15:restartNumberingAfterBreak="0">
    <w:nsid w:val="55BF50D0"/>
    <w:multiLevelType w:val="multilevel"/>
    <w:tmpl w:val="0D5A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E166C4"/>
    <w:multiLevelType w:val="hybridMultilevel"/>
    <w:tmpl w:val="D422DB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E485724"/>
    <w:multiLevelType w:val="multilevel"/>
    <w:tmpl w:val="8D8EF09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416634000">
    <w:abstractNumId w:val="4"/>
  </w:num>
  <w:num w:numId="2" w16cid:durableId="1010638792">
    <w:abstractNumId w:val="5"/>
  </w:num>
  <w:num w:numId="3" w16cid:durableId="1601258161">
    <w:abstractNumId w:val="3"/>
  </w:num>
  <w:num w:numId="4" w16cid:durableId="1242373253">
    <w:abstractNumId w:val="10"/>
  </w:num>
  <w:num w:numId="5" w16cid:durableId="1661420665">
    <w:abstractNumId w:val="6"/>
  </w:num>
  <w:num w:numId="6" w16cid:durableId="1970554222">
    <w:abstractNumId w:val="7"/>
  </w:num>
  <w:num w:numId="7" w16cid:durableId="1197885288">
    <w:abstractNumId w:val="1"/>
  </w:num>
  <w:num w:numId="8" w16cid:durableId="733891807">
    <w:abstractNumId w:val="2"/>
  </w:num>
  <w:num w:numId="9" w16cid:durableId="1412238762">
    <w:abstractNumId w:val="8"/>
  </w:num>
  <w:num w:numId="10" w16cid:durableId="944850458">
    <w:abstractNumId w:val="0"/>
  </w:num>
  <w:num w:numId="11" w16cid:durableId="12343878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F0C"/>
    <w:rsid w:val="000B457F"/>
    <w:rsid w:val="00123D3D"/>
    <w:rsid w:val="0014405D"/>
    <w:rsid w:val="00263223"/>
    <w:rsid w:val="002749F5"/>
    <w:rsid w:val="003025B7"/>
    <w:rsid w:val="00342358"/>
    <w:rsid w:val="00367776"/>
    <w:rsid w:val="003B6786"/>
    <w:rsid w:val="003E48D7"/>
    <w:rsid w:val="004024E4"/>
    <w:rsid w:val="007A502D"/>
    <w:rsid w:val="007B1B91"/>
    <w:rsid w:val="007E63B0"/>
    <w:rsid w:val="00836700"/>
    <w:rsid w:val="00A703B4"/>
    <w:rsid w:val="00AA02E4"/>
    <w:rsid w:val="00BA29B6"/>
    <w:rsid w:val="00CC0816"/>
    <w:rsid w:val="00D64F0C"/>
    <w:rsid w:val="00E71CD7"/>
    <w:rsid w:val="00F449EF"/>
    <w:rsid w:val="00FB7B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6A243"/>
  <w15:docId w15:val="{396AE69E-640B-4956-9DB1-7A48326BA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1440" w:hanging="360"/>
      <w:jc w:val="both"/>
      <w:outlineLvl w:val="0"/>
    </w:pPr>
    <w:rPr>
      <w:b/>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pPr>
    <w:rPr>
      <w:sz w:val="28"/>
      <w:szCs w:val="2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D579D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579DF"/>
    <w:rPr>
      <w:rFonts w:ascii="Segoe UI" w:hAnsi="Segoe UI" w:cs="Segoe UI"/>
      <w:sz w:val="18"/>
      <w:szCs w:val="18"/>
    </w:r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901A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901A9"/>
  </w:style>
  <w:style w:type="paragraph" w:styleId="Piedepgina">
    <w:name w:val="footer"/>
    <w:basedOn w:val="Normal"/>
    <w:link w:val="PiedepginaCar"/>
    <w:uiPriority w:val="99"/>
    <w:unhideWhenUsed/>
    <w:rsid w:val="005901A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901A9"/>
  </w:style>
  <w:style w:type="character" w:styleId="Hipervnculo">
    <w:name w:val="Hyperlink"/>
    <w:basedOn w:val="Fuentedeprrafopredeter"/>
    <w:uiPriority w:val="99"/>
    <w:unhideWhenUsed/>
    <w:rsid w:val="005901A9"/>
    <w:rPr>
      <w:color w:val="0000FF" w:themeColor="hyperlink"/>
      <w:u w:val="single"/>
    </w:rPr>
  </w:style>
  <w:style w:type="character" w:styleId="Mencinsinresolver">
    <w:name w:val="Unresolved Mention"/>
    <w:basedOn w:val="Fuentedeprrafopredeter"/>
    <w:uiPriority w:val="99"/>
    <w:semiHidden/>
    <w:unhideWhenUsed/>
    <w:rsid w:val="005901A9"/>
    <w:rPr>
      <w:color w:val="605E5C"/>
      <w:shd w:val="clear" w:color="auto" w:fill="E1DFDD"/>
    </w:rPr>
  </w:style>
  <w:style w:type="paragraph" w:styleId="Prrafodelista">
    <w:name w:val="List Paragraph"/>
    <w:basedOn w:val="Normal"/>
    <w:uiPriority w:val="34"/>
    <w:qFormat/>
    <w:rsid w:val="006B752C"/>
    <w:pPr>
      <w:ind w:left="720"/>
      <w:contextualSpacing/>
    </w:pPr>
  </w:style>
  <w:style w:type="paragraph" w:styleId="Asuntodelcomentario">
    <w:name w:val="annotation subject"/>
    <w:basedOn w:val="Textocomentario"/>
    <w:next w:val="Textocomentario"/>
    <w:link w:val="AsuntodelcomentarioCar"/>
    <w:uiPriority w:val="99"/>
    <w:semiHidden/>
    <w:unhideWhenUsed/>
    <w:rsid w:val="00256D81"/>
    <w:rPr>
      <w:b/>
      <w:bCs/>
    </w:rPr>
  </w:style>
  <w:style w:type="character" w:customStyle="1" w:styleId="AsuntodelcomentarioCar">
    <w:name w:val="Asunto del comentario Car"/>
    <w:basedOn w:val="TextocomentarioCar"/>
    <w:link w:val="Asuntodelcomentario"/>
    <w:uiPriority w:val="99"/>
    <w:semiHidden/>
    <w:rsid w:val="00256D81"/>
    <w:rPr>
      <w:b/>
      <w:bCs/>
      <w:sz w:val="20"/>
      <w:szCs w:val="20"/>
    </w:rPr>
  </w:style>
  <w:style w:type="character" w:styleId="Hipervnculovisitado">
    <w:name w:val="FollowedHyperlink"/>
    <w:basedOn w:val="Fuentedeprrafopredeter"/>
    <w:uiPriority w:val="99"/>
    <w:semiHidden/>
    <w:unhideWhenUsed/>
    <w:rsid w:val="00FD27B0"/>
    <w:rPr>
      <w:color w:val="800080" w:themeColor="followedHyperlink"/>
      <w:u w:val="single"/>
    </w:r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CC08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500693">
      <w:bodyDiv w:val="1"/>
      <w:marLeft w:val="0"/>
      <w:marRight w:val="0"/>
      <w:marTop w:val="0"/>
      <w:marBottom w:val="0"/>
      <w:divBdr>
        <w:top w:val="none" w:sz="0" w:space="0" w:color="auto"/>
        <w:left w:val="none" w:sz="0" w:space="0" w:color="auto"/>
        <w:bottom w:val="none" w:sz="0" w:space="0" w:color="auto"/>
        <w:right w:val="none" w:sz="0" w:space="0" w:color="auto"/>
      </w:divBdr>
    </w:div>
    <w:div w:id="776372146">
      <w:bodyDiv w:val="1"/>
      <w:marLeft w:val="0"/>
      <w:marRight w:val="0"/>
      <w:marTop w:val="0"/>
      <w:marBottom w:val="0"/>
      <w:divBdr>
        <w:top w:val="none" w:sz="0" w:space="0" w:color="auto"/>
        <w:left w:val="none" w:sz="0" w:space="0" w:color="auto"/>
        <w:bottom w:val="none" w:sz="0" w:space="0" w:color="auto"/>
        <w:right w:val="none" w:sz="0" w:space="0" w:color="auto"/>
      </w:divBdr>
    </w:div>
    <w:div w:id="1306666216">
      <w:bodyDiv w:val="1"/>
      <w:marLeft w:val="0"/>
      <w:marRight w:val="0"/>
      <w:marTop w:val="0"/>
      <w:marBottom w:val="0"/>
      <w:divBdr>
        <w:top w:val="none" w:sz="0" w:space="0" w:color="auto"/>
        <w:left w:val="none" w:sz="0" w:space="0" w:color="auto"/>
        <w:bottom w:val="none" w:sz="0" w:space="0" w:color="auto"/>
        <w:right w:val="none" w:sz="0" w:space="0" w:color="auto"/>
      </w:divBdr>
    </w:div>
    <w:div w:id="1601376031">
      <w:bodyDiv w:val="1"/>
      <w:marLeft w:val="0"/>
      <w:marRight w:val="0"/>
      <w:marTop w:val="0"/>
      <w:marBottom w:val="0"/>
      <w:divBdr>
        <w:top w:val="none" w:sz="0" w:space="0" w:color="auto"/>
        <w:left w:val="none" w:sz="0" w:space="0" w:color="auto"/>
        <w:bottom w:val="none" w:sz="0" w:space="0" w:color="auto"/>
        <w:right w:val="none" w:sz="0" w:space="0" w:color="auto"/>
      </w:divBdr>
    </w:div>
    <w:div w:id="2004164704">
      <w:bodyDiv w:val="1"/>
      <w:marLeft w:val="0"/>
      <w:marRight w:val="0"/>
      <w:marTop w:val="0"/>
      <w:marBottom w:val="0"/>
      <w:divBdr>
        <w:top w:val="none" w:sz="0" w:space="0" w:color="auto"/>
        <w:left w:val="none" w:sz="0" w:space="0" w:color="auto"/>
        <w:bottom w:val="none" w:sz="0" w:space="0" w:color="auto"/>
        <w:right w:val="none" w:sz="0" w:space="0" w:color="auto"/>
      </w:divBdr>
    </w:div>
    <w:div w:id="210457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aho.org/es/temas/tuberculosis#:~:text=En%20las%20personas%20sanas%2C%20la,act%C3%BAa%20para%20bloquear%20la%20bacteria.&amp;text=En%202022%2C%20la%20tuberculosis%20se,despu%C3%A9s%20de%20la%20COVID%2D19"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tb/esp/topic/testing/diagnosingltbi.ht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eeexplore.ieee.org/abstract/document/6616679/figures#figur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ho.int/es/news-room/fact-sheets/detail/tuberculosis#:~:text=La%20tuberculosis%20es%20una%20enfermedad,se%20puede%20prevenir%20y%20curar"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Cp5XMudylLbIj53KSOM6WB3SUw==">CgMxLjAaHwoBMBIaChgICVIUChJ0YWJsZS5ldW84bXducmpsd3kyDmgud2EydnB6ZGZxbXNyMg5oLjV6MTVhN2N5czdkMzIOaC4xMzNtZXNhOW41dTgyCWguMTdkcDh2dTgAciExa1JlaFdxcUhHYmwtb1VVVHYzT1lnQVJGZER4LXpidXg=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1990</Words>
  <Characters>10949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YUDDY LORENA GIRALDO VALENCIA</cp:lastModifiedBy>
  <cp:revision>4</cp:revision>
  <dcterms:created xsi:type="dcterms:W3CDTF">2024-05-07T07:07:00Z</dcterms:created>
  <dcterms:modified xsi:type="dcterms:W3CDTF">2024-05-08T02:06:00Z</dcterms:modified>
</cp:coreProperties>
</file>