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2F75B5"/>
          <w:sz w:val="26"/>
        </w:rPr>
        <w:t>MEUREMEDIO</w:t>
      </w:r>
    </w:p>
    <w:p>
      <w:r>
        <w:br/>
      </w:r>
    </w:p>
    <w:p>
      <w:pPr>
        <w:pStyle w:val="Title"/>
      </w:pPr>
      <w:r>
        <w:t>ADR-001</w:t>
      </w:r>
    </w:p>
    <w:p>
      <w:r>
        <w:rPr>
          <w:b/>
          <w:color w:val="1F4E79"/>
          <w:sz w:val="44"/>
        </w:rPr>
        <w:t>Arquitetura Base do Projeto MeuRemedio</w:t>
      </w:r>
    </w:p>
    <w:p>
      <w:r>
        <w:rPr>
          <w:i/>
          <w:color w:val="5B6573"/>
          <w:sz w:val="24"/>
        </w:rPr>
        <w:t>Stack IA-First, monólito modular e preparação para capacidades futuras de saúde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76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APROVADO - OA-001 A OA-005 E OA-007 RESOLVIDOS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Data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21/09/2026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Versão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1.4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Escopo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Baseline técnica para desenvolvimento e testes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Decisão principal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TypeScript ponta a ponta, Next.js, NestJS e PostgreSQL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Fontes normativas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/>
            <w:r>
              <w:rPr>
                <w:b w:val="0"/>
              </w:rPr>
              <w:t>Especificação Funcional 02.32 DEV-FINAL, OpenAPI 02.33.1 e ADR-001 v1.4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4E79"/>
                <w:sz w:val="22"/>
              </w:rPr>
              <w:t>Decisão em uma frase</w:t>
              <w:br/>
            </w:r>
            <w:r>
              <w:t>Adotar TypeScript ponta a ponta em um monólito modular, com Next.js no frontend, NestJS no backend e PostgreSQL como sistema de registro, preservando OpenAPI como contrato normativo e criando fronteiras explícitas para Document AI, conhecimento farmacológico e regras clínicas futuras.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Sumário executivo</w:t>
      </w:r>
    </w:p>
    <w:p>
      <w:r>
        <w:t>Esta ADR aprova a arquitetura base do MeuRemedio para permitir o início do desenvolvimento com forte apoio de agentes de inteligência artificial, sem comprometer segurança, rastreabilidade, testabilidade ou evolução futura. A decisão combina uma stack TypeScript de ponta a ponta com arquitetura de monólito modular e PostgreSQL como sistema de registro.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676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Decisão executiva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Stack principal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Next.js e TypeScript no frontend; NestJS e TypeScript no backend; PostgreSQL para persistência e consistência.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Arquitetura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Monólito modular, com API e workers na mesma base de código e implantações separáveis.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Contrato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OpenAPI 3.1.1 versão 02.33.1 permanece como fonte normativa para rotas, payloads, respostas, concorrência, comandos e testes de contrato.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Desenvolvimento IA-First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Agentes geram testes e implementação; CI, rastreabilidade e revisão humana controlam comportamento e risco.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Dados e consistência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Constraints, transações, locks, row_version gerenciado pela persistência e disponível em representações de leitura, ETag/If-Match normativo para escrita, Idempotency-Key e outbox transacional.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Roadmap de saúde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OCR, conhecimento farmacológico e regras clínicas serão módulos separados, versionados e sujeitos a validação humana e regulatória.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Operação inicial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Docker e GitHub Actions, sem microserviços, Kubernetes ou broker dedicado no MVP.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Validação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Seis spikes técnicos devem confirmar contrato, DST, concorrência, jobs, PDF e segurança do frontend antes da consolidação.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4E79"/>
                <w:sz w:val="22"/>
              </w:rPr>
              <w:t>Resultado esperado</w:t>
              <w:br/>
            </w:r>
            <w:r>
              <w:t>Iniciar o projeto com uma estrutura simples e previsível para agentes de IA, preservando as invariantes críticas da baseline 02.32 e um caminho controlado para futuras funcionalidades relacionadas à saúde.</w:t>
            </w:r>
          </w:p>
        </w:tc>
      </w:tr>
    </w:tbl>
    <w:p>
      <w:pPr>
        <w:spacing w:after="0"/>
      </w:pPr>
    </w:p>
    <w:p>
      <w:r>
        <w:t>Esta ADR não libera funcionalidades clínicas. Leitura de receitas, análise de interações e comparação entre receita e bula exigirão nova especificação, avaliação regulatória, validação clínica, fontes farmacológicas versionadas e controles adicionais antes de produção.</w:t>
      </w:r>
    </w:p>
    <w:p>
      <w:pPr>
        <w:pStyle w:val="Heading1"/>
      </w:pPr>
      <w:r>
        <w:t>2. Contexto e motivação</w:t>
      </w:r>
    </w:p>
    <w:p>
      <w:r>
        <w:t>O MeuRemedio é uma aplicação web transacional B2C que trata dados pessoais sensíveis de saúde. A baseline 02.32 define um produto declaratório para conta individual, planos de medicação, ocorrências, lembretes, respostas, histórico, exportação PDF, acessibilidade, privacidade e exclusão de conta.</w:t>
      </w:r>
    </w:p>
    <w:p>
      <w:r>
        <w:t>O projeto será conduzido em modelo IA-First. O roadmap posterior prevê leitura de receitas, análise de possíveis interações medicamentosas e detecção de divergências entre receita e informação farmacológica. Essas capacidades não integram a baseline atual e dependerão de avaliação específica.</w:t>
      </w:r>
    </w:p>
    <w:p>
      <w:pPr>
        <w:pStyle w:val="Heading1"/>
      </w:pPr>
      <w:r>
        <w:t>3. Drivers arquiteturais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Driver</w:t>
            </w:r>
          </w:p>
        </w:tc>
        <w:tc>
          <w:tcPr>
            <w:tcW w:type="dxa" w:w="662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Implicação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IA-First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Estrutura convencional, tipagem forte, comandos reproduzíveis e baixo número de tecnologias.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Contrato normativo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OpenAPI precede rotas, DTOs e testes; divergência bloqueia CI.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Concorrência e idempotência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ACID, constraints, locks, row_version, ETag/If-Match e Idempotency-Key.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Tempo civil e DST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Clock injetável, fuso IANA e testes determinísticos.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Dados sensíveis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Menor privilégio, logs minimizados, criptografia e auditoria.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Evolução clínica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Módulos isolados, proveniência, versionamento e confirmação humana.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Simplicidade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Sem microserviços, Kubernetes ou broker dedicado no MVP.</w:t>
            </w:r>
          </w:p>
        </w:tc>
      </w:tr>
    </w:tbl>
    <w:p>
      <w:pPr>
        <w:spacing w:after="0"/>
      </w:pPr>
    </w:p>
    <w:p>
      <w:pPr>
        <w:pStyle w:val="Heading1"/>
      </w:pPr>
      <w:r>
        <w:t>4. Decisão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676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Tecnologia ou padrão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Frontend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Next.js + React + TypeScript strict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UI e formulários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Tailwind CSS, shadcn/ui, Radix UI, React Hook Form e Zod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Estado remoto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TanStack Query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Backend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NestJS + TypeScript, com adaptador Fastify quando compatível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Arquitetura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Monólito modular com portas e adaptadores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Banco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PostgreSQL gerenciado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Dados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Drizzle ORM, com migrações SQL explícitas, versionadas e revisadas em CI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Jobs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/>
            <w:r>
              <w:rPr>
                <w:b w:val="0"/>
              </w:rPr>
              <w:t>Outbox transacional + pg-boss sobre PostgreSQL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Contrato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OpenAPI 3.1.1 contract-first, versão normativa 02.33.1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Testes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Vitest, Testcontainers, Schemathesis, Playwright, axe, fast-check e Stryker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DevOps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Docker, GitHub Actions, OpenTelemetry, AWS e IaC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IA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AGENTS.md, especificações versionadas e gate de rastreabilidade</w:t>
            </w:r>
          </w:p>
        </w:tc>
      </w:tr>
    </w:tbl>
    <w:p>
      <w:pPr>
        <w:spacing w:after="0"/>
      </w:pPr>
    </w:p>
    <w:p>
      <w:pPr>
        <w:pStyle w:val="Heading1"/>
      </w:pPr>
      <w:r>
        <w:t>5. Justificativa das escolhas</w:t>
      </w:r>
    </w:p>
    <w:p>
      <w:pPr>
        <w:pStyle w:val="Heading2"/>
      </w:pPr>
      <w:r>
        <w:t>5.1 TypeScript ponta a ponta</w:t>
      </w:r>
    </w:p>
    <w:p>
      <w:r>
        <w:t>Uma linguagem e um toolchain reduzem a troca de contexto dos agentes e permitem refatorações coordenadas entre frontend, backend, workers e testes.</w:t>
      </w:r>
    </w:p>
    <w:p>
      <w:pPr>
        <w:pStyle w:val="Heading2"/>
      </w:pPr>
      <w:r>
        <w:t>5.2 NestJS no backend</w:t>
      </w:r>
    </w:p>
    <w:p>
      <w:r>
        <w:t>NestJS oferece estrutura previsível para módulos, controllers, providers, guards, interceptors, pipes e testes, favorecendo geração e manutenção por IA.</w:t>
      </w:r>
    </w:p>
    <w:p>
      <w:pPr>
        <w:pStyle w:val="Heading2"/>
      </w:pPr>
      <w:r>
        <w:t>5.3 Next.js no frontend</w:t>
      </w:r>
    </w:p>
    <w:p>
      <w:r>
        <w:t>Next.js oferece convenções e ecossistema amplamente suportados por agentes. Regras de negócio permanecem na API de domínio.</w:t>
      </w:r>
    </w:p>
    <w:p>
      <w:pPr>
        <w:pStyle w:val="Heading2"/>
      </w:pPr>
      <w:r>
        <w:t>5.4 PostgreSQL</w:t>
      </w:r>
    </w:p>
    <w:p>
      <w:r>
        <w:t>Constraints, transações, locks e atualizações condicionais preservam as principais invariantes do sistema.</w:t>
      </w:r>
    </w:p>
    <w:p>
      <w:pPr>
        <w:pStyle w:val="Heading2"/>
      </w:pPr>
      <w:r>
        <w:t>5.5 Monólito modular</w:t>
      </w:r>
    </w:p>
    <w:p>
      <w:r>
        <w:t>Um deploy lógico e transações locais reduzem o custo operacional e preservam a opção de futura extração de módulos.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4E79"/>
                <w:sz w:val="22"/>
              </w:rPr>
              <w:t>Condição obrigatória</w:t>
              <w:br/>
            </w:r>
            <w:r>
              <w:t>NestJS não autoriza abordagem code-first. O OpenAPI existente permanece como fonte normativa; decorators e tipos internos devem implementar o contrato, nunca substituí-lo.</w:t>
            </w:r>
          </w:p>
        </w:tc>
      </w:tr>
    </w:tbl>
    <w:p>
      <w:pPr>
        <w:spacing w:after="0"/>
      </w:pPr>
    </w:p>
    <w:p>
      <w:pPr>
        <w:pStyle w:val="Heading1"/>
      </w:pPr>
      <w:r>
        <w:t>6. Fronteiras modulares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3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698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identity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Conta, consulta e atualização de atributos editáveis, verificação, senha, sessões, revogação global e preferências. O fuso IANA é imutável no MVP.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plans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Planos e horários civis.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occurrences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Geração, prazo, estados e consultas.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responses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Primeira resposta aceita e imutável.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reminders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Lembretes e conciliação de entrega.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history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Consulta histórica e snapshots.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exports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PDF privado, snapshot, cancelamento durante processamento e expiração.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privacy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Direitos, exclusão, expurgo e tombstones.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audit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Trilha minimizada de ações críticas.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platform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Clock, e-mail, storage, KMS e telemetria.</w:t>
            </w:r>
          </w:p>
        </w:tc>
      </w:tr>
    </w:tbl>
    <w:p>
      <w:pPr>
        <w:spacing w:after="0"/>
      </w:pPr>
    </w:p>
    <w:p>
      <w:pPr>
        <w:pStyle w:val="Heading2"/>
      </w:pPr>
      <w:r>
        <w:t>6.1 Módulos futuros de saúde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676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Limite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document-ai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OCR e extração estruturada; produz hipótese com confiança e não ativa agenda sem confirmação.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medication-knowledge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Normaliza medicamentos, princípios ativos, apresentações, bulas e fontes versionadas.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clinical-rules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Avalia interações e divergências por regras versionadas, sem alterar tratamento autonomamente.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provenance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Registra fonte, versão, modelo, horário, confiança e evidência usada.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4E79"/>
                <w:sz w:val="22"/>
              </w:rPr>
              <w:t>Regra fundamental</w:t>
              <w:br/>
            </w:r>
            <w:r>
              <w:t>IA sugere. O usuário confirma. Quando houver implicação clínica, profissional habilitado valida. A IA não decide tratamento nem corrige prescrição.</w:t>
            </w:r>
          </w:p>
        </w:tc>
      </w:tr>
    </w:tbl>
    <w:p>
      <w:pPr>
        <w:spacing w:after="0"/>
      </w:pPr>
    </w:p>
    <w:p>
      <w:pPr>
        <w:pStyle w:val="Heading1"/>
      </w:pPr>
      <w:r>
        <w:t>7. Regras arquiteturais obrigatórias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Regra</w:t>
            </w:r>
          </w:p>
        </w:tc>
        <w:tc>
          <w:tcPr>
            <w:tcW w:type="dxa" w:w="712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Obrigação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Contrato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Nenhuma rota ou payload sem correspondência na OpenAPI 02.33.1 normativa. Divergência bloqueia a CI.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Tempo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Regras usam Clock injetável; a regra de DST deve ser explícita.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Ownership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Toda operação privada inclui userId ou accountId no limite de autorização e na consulta.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Idempotência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Mutações críticas persistem chave, hash e snapshot da resposta.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Concorrência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row_version é gerenciado pela persistência e pode ser apresentado em representações de leitura para rastreabilidade. Em operações de escrita, ETag e If-Match são o mecanismo normativo de concorrência; o cliente não envia row_version nem expected_row_version, preservando locks e constraints no banco.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Sessão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/>
            <w:r>
              <w:rPr>
                <w:b w:val="0"/>
              </w:rPr>
              <w:t>Server-side, revogável, com limite e expirações normativas. Revogação global usa POST /sessions/revocations, reautenticação e Idempotency-Key.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Assíncrono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Efeitos externos nascem de outbox gravada no mesmo commit.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Logs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Nunca registrar segredo, e-mail completo, conteúdo de saúde ou documento original.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Dependências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Exigem justificativa, versão fixada, licença e SCA.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IA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Sem dados reais de saúde ou credenciais de produção.</w:t>
            </w:r>
          </w:p>
        </w:tc>
      </w:tr>
    </w:tbl>
    <w:p>
      <w:pPr>
        <w:spacing w:after="0"/>
      </w:pPr>
    </w:p>
    <w:p>
      <w:pPr>
        <w:pStyle w:val="Heading1"/>
      </w:pPr>
      <w:r>
        <w:t>8. Estratégia de testes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58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259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Ferramentas</w:t>
            </w:r>
          </w:p>
        </w:tc>
        <w:tc>
          <w:tcPr>
            <w:tcW w:type="dxa" w:w="504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Cobertura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Unitário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Vitest + fast-check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Estados, geração, prazo, DST e regras puras.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Integração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Vitest + Testcontainers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PostgreSQL real, concorrência, idempotência, outbox, expurgo e restore.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Contrato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Schemathesis + Spectral + oasdiff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Schemas, códigos, cabeçalhos, enums e compatibilidade.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API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Supertest ou equivalente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Guards, pipes, cookies, CSRF, ownership e problem+json.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E2E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Playwright + axe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Jornadas, estados de tela, acessibilidade e falhas de rede.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Segurança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CodeQL/Semgrep, SCA, Trivy, Gitleaks e ZAP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SAST, dependências, imagem, segredos e DAST.</w:t>
            </w:r>
          </w:p>
        </w:tc>
      </w:tr>
      <w:t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Mutação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Stryker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Detectar testes gerados por IA sem verificação efetiva.</w:t>
            </w:r>
          </w:p>
        </w:tc>
      </w:tr>
    </w:tbl>
    <w:p>
      <w:pPr>
        <w:spacing w:after="0"/>
      </w:pPr>
    </w:p>
    <w:p>
      <w:r>
        <w:t>Cada teste deve portar os IDs normativos correspondentes. A CI deve falhar quando houver requisito sem teste, referência inexistente ou implementação divergente da OpenAPI 02.33.1.</w:t>
      </w:r>
    </w:p>
    <w:p>
      <w:pPr>
        <w:pStyle w:val="Heading1"/>
      </w:pPr>
      <w:r>
        <w:t>9. Desenvolvimento assistido por IA</w:t>
      </w:r>
    </w:p>
    <w:p>
      <w:pPr>
        <w:pStyle w:val="ListNumber"/>
      </w:pPr>
      <w:r>
        <w:t>O agente lê a Especificação Funcional 02.32, a OpenAPI 02.33.1, esta ADR e o AGENTS.md.</w:t>
      </w:r>
    </w:p>
    <w:p>
      <w:pPr>
        <w:pStyle w:val="ListNumber"/>
      </w:pPr>
      <w:r>
        <w:t>O agente gera primeiro os testes vinculados aos IDs.</w:t>
      </w:r>
    </w:p>
    <w:p>
      <w:pPr>
        <w:pStyle w:val="ListNumber"/>
      </w:pPr>
      <w:r>
        <w:t>O humano revisa testes, invariantes e riscos.</w:t>
      </w:r>
    </w:p>
    <w:p>
      <w:pPr>
        <w:pStyle w:val="ListNumber"/>
      </w:pPr>
      <w:r>
        <w:t>O agente implementa a menor alteração até os gates ficarem verdes.</w:t>
      </w:r>
    </w:p>
    <w:p>
      <w:pPr>
        <w:pStyle w:val="ListNumber"/>
      </w:pPr>
      <w:r>
        <w:t>A CI executa typecheck, lint, testes, contrato, segurança e rastreabilidade.</w:t>
      </w:r>
    </w:p>
    <w:p>
      <w:pPr>
        <w:pStyle w:val="ListNumber"/>
      </w:pPr>
      <w:r>
        <w:t>Áreas críticas exigem CODEOWNERS e revisão humana.</w:t>
      </w:r>
    </w:p>
    <w:p>
      <w:pPr>
        <w:pStyle w:val="Heading1"/>
      </w:pPr>
      <w:r>
        <w:t>10. Alternativas consideradas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3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Alternativa</w:t>
            </w:r>
          </w:p>
        </w:tc>
        <w:tc>
          <w:tcPr>
            <w:tcW w:type="dxa" w:w="158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540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Fastify puro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Não adotada como principal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Bom alinhamento com JSON Schema, mas requer mais estrutura própria e é menos previsível para agentes.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React + Vite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Não adotada como padrão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Viável, mas Next.js foi preferido por convenções e ecossistema.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Java + Spring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Adiada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Robusta, porém sem vantagem suficiente para justificar dois toolchains agora.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C# + ASP.NET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Adiada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Forte alternativa, mas não maximiza linguagem única.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Python + FastAPI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Adiada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Útil a serviços de IA especializados, não ao núcleo transacional.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Microserviços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Rejeitada no MVP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Complexidade e consistência distribuída sem necessidade comprovada.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Broker dedicado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Adiado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PostgreSQL atende o volume inicial; reavaliar por desempenho.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NoSQL principal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Rejeitada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Domínio depende de integridade relacional e transações.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Kubernetes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Rejeitada no MVP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Complexidade operacional desproporcional.</w:t>
            </w:r>
          </w:p>
        </w:tc>
      </w:tr>
    </w:tbl>
    <w:p>
      <w:pPr>
        <w:spacing w:after="0"/>
      </w:pPr>
    </w:p>
    <w:p>
      <w:pPr>
        <w:pStyle w:val="Heading1"/>
      </w:pPr>
      <w:r>
        <w:t>11. Consequências</w:t>
      </w:r>
    </w:p>
    <w:p>
      <w:pPr>
        <w:pStyle w:val="Heading2"/>
      </w:pPr>
      <w:r>
        <w:t>11.1 Benefícios</w:t>
      </w:r>
    </w:p>
    <w:p>
      <w:pPr>
        <w:pStyle w:val="ListBullet"/>
      </w:pPr>
      <w:r>
        <w:t>Uma linguagem e um toolchain.</w:t>
      </w:r>
    </w:p>
    <w:p>
      <w:pPr>
        <w:pStyle w:val="ListBullet"/>
      </w:pPr>
      <w:r>
        <w:t>Estrutura previsível para agentes.</w:t>
      </w:r>
    </w:p>
    <w:p>
      <w:pPr>
        <w:pStyle w:val="ListBullet"/>
      </w:pPr>
      <w:r>
        <w:t>Contrato executável e rastreabilidade.</w:t>
      </w:r>
    </w:p>
    <w:p>
      <w:pPr>
        <w:pStyle w:val="ListBullet"/>
      </w:pPr>
      <w:r>
        <w:t>Consistência apoiada pelo banco.</w:t>
      </w:r>
    </w:p>
    <w:p>
      <w:pPr>
        <w:pStyle w:val="ListBullet"/>
      </w:pPr>
      <w:r>
        <w:t>Baixa complexidade operacional.</w:t>
      </w:r>
    </w:p>
    <w:p>
      <w:pPr>
        <w:pStyle w:val="ListBullet"/>
      </w:pPr>
      <w:r>
        <w:t>Evolução para OCR e inteligência farmacológica sem reescrever o núcleo.</w:t>
      </w:r>
    </w:p>
    <w:p>
      <w:pPr>
        <w:pStyle w:val="Heading2"/>
      </w:pPr>
      <w:r>
        <w:t>11.2 Riscos aceitos</w:t>
      </w:r>
    </w:p>
    <w:p>
      <w:pPr>
        <w:pStyle w:val="ListBullet"/>
      </w:pPr>
      <w:r>
        <w:t>Será necessária camada específica para manter NestJS fiel ao OpenAPI contract-first.</w:t>
      </w:r>
    </w:p>
    <w:p>
      <w:pPr>
        <w:pStyle w:val="ListBullet"/>
      </w:pPr>
      <w:r>
        <w:t>Next.js deverá evitar duplicação de regras de negócio.</w:t>
      </w:r>
    </w:p>
    <w:p>
      <w:pPr>
        <w:pStyle w:val="ListBullet"/>
      </w:pPr>
      <w:r>
        <w:t>A disciplina modular deverá ser testada e revisada.</w:t>
      </w:r>
    </w:p>
    <w:p>
      <w:pPr>
        <w:pStyle w:val="ListBullet"/>
      </w:pPr>
      <w:r/>
      <w:r>
        <w:t>Drizzle, pg-boss e Puppeteer exigem validação pelos spikes previstos antes da consolidação de produção.</w:t>
      </w:r>
    </w:p>
    <w:p>
      <w:pPr>
        <w:pStyle w:val="ListBullet"/>
      </w:pPr>
      <w:r>
        <w:t>Módulos clínicos futuros podem usar outra tecnologia.</w:t>
      </w:r>
    </w:p>
    <w:p>
      <w:pPr>
        <w:pStyle w:val="ListBullet"/>
      </w:pPr>
      <w:r/>
      <w:r>
        <w:t>O ecossistema npm e o uso de Chromium pelo Puppeteer exigem controles de cadeia de suprimentos, atualização e hardening.</w:t>
      </w:r>
    </w:p>
    <w:p>
      <w:pPr>
        <w:pStyle w:val="Heading1"/>
      </w:pPr>
      <w:r>
        <w:t>12. Spikes e critérios de validação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93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Spike</w:t>
            </w:r>
          </w:p>
        </w:tc>
        <w:tc>
          <w:tcPr>
            <w:tcW w:type="dxa" w:w="540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Aceite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S1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NestJS + OpenAPI 3.1.1 (02.33.1)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Registrar rotas por operationId e validar requisição e resposta sem alterar o YAML normativo.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S2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Tempo civil e DST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Clock injetável e testes cobrindo horários inexistentes, ambíguos e limites.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S3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Concorrência e idempotência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PostgreSQL real reproduz TS-001, TS-015 e TS-038 sob paralelismo.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S4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Outbox e jobs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Falha do dispatcher mantém trabalho; retomada não duplica efeito.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S5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PDF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Exportação pesquisável atende tempo e privacidade.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S6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Next.js seguro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Jornada autenticada, cookies, CSRF e estados de tela cobertos.</w:t>
            </w:r>
          </w:p>
        </w:tc>
      </w:tr>
    </w:tbl>
    <w:p>
      <w:pPr>
        <w:spacing w:after="0"/>
      </w:pPr>
    </w:p>
    <w:p>
      <w:pPr>
        <w:pStyle w:val="Heading1"/>
      </w:pPr>
      <w:r>
        <w:t>13. Gatilhos de revisão</w:t>
      </w:r>
    </w:p>
    <w:p>
      <w:pPr>
        <w:pStyle w:val="ListBullet"/>
      </w:pPr>
      <w:r>
        <w:t>Início de OCR ou interpretação de receitas em produção.</w:t>
      </w:r>
    </w:p>
    <w:p>
      <w:pPr>
        <w:pStyle w:val="ListBullet"/>
      </w:pPr>
      <w:r>
        <w:t>Primeira análise de interação, contraindicação ou comparação com bula.</w:t>
      </w:r>
    </w:p>
    <w:p>
      <w:pPr>
        <w:pStyle w:val="ListBullet"/>
      </w:pPr>
      <w:r>
        <w:t>Possibilidade concreta de enquadramento como Software como Dispositivo Médico.</w:t>
      </w:r>
    </w:p>
    <w:p>
      <w:pPr>
        <w:pStyle w:val="ListBullet"/>
      </w:pPr>
      <w:r>
        <w:t>Integração FHIR, RNDS, prontuário, hospital, laboratório ou prescrição eletrônica.</w:t>
      </w:r>
    </w:p>
    <w:p>
      <w:pPr>
        <w:pStyle w:val="ListBullet"/>
      </w:pPr>
      <w:r>
        <w:t>Volume de jobs acima do perfil aprovado.</w:t>
      </w:r>
    </w:p>
    <w:p>
      <w:pPr>
        <w:pStyle w:val="ListBullet"/>
      </w:pPr>
      <w:r>
        <w:t>Múltiplas equipes com ciclos independentes.</w:t>
      </w:r>
    </w:p>
    <w:p>
      <w:pPr>
        <w:pStyle w:val="ListBullet"/>
      </w:pPr>
      <w:r>
        <w:t>Mudança material de RPO, RTO, disponibilidade ou residência de dados.</w:t>
      </w:r>
    </w:p>
    <w:p>
      <w:pPr>
        <w:pStyle w:val="ListBullet"/>
      </w:pPr>
      <w:r>
        <w:t>Evidência mensurável de inadequação de NestJS, Next.js ou PostgreSQL.</w:t>
      </w:r>
    </w:p>
    <w:p>
      <w:pPr>
        <w:pStyle w:val="Heading2"/>
      </w:pPr>
      <w:r>
        <w:t>14. Decisões encerradas e item remanescente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0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626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/>
              </w:rPr>
              <w:t>Situação e decisão</w:t>
            </w:r>
          </w:p>
        </w:tc>
        <w:tc>
          <w:tcPr>
            <w:tcW w:type="dxa" w:w="187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/>
              </w:rPr>
              <w:t>Impacto e condição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/>
              </w:rPr>
              <w:t>OA-001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RESOLVIDO - Drizzle ORM. Migrações SQL explícitas, versionadas e revisadas em CI.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Padroniza acesso a dados e habilita schema físico e testes de integração. Reavaliar apenas se houver inadequação técnica comprovada.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/>
            <w:r>
              <w:rPr>
                <w:b/>
              </w:rPr>
              <w:t>OA-002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/>
            <w:r>
              <w:rPr>
                <w:b w:val="0"/>
              </w:rPr>
              <w:t>RESOLVIDO - pg-boss integrado ao padrão Outbox transacional.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/>
            <w:r>
              <w:rPr>
                <w:b w:val="0"/>
              </w:rPr>
              <w:t>Habilita workers de ocorrências, e-mail, PDF e expurgo. Validar retomada, não duplicação e entrega incerta nos testes TS-016, TS-017, TS-034 e TS-035.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/>
              </w:rPr>
              <w:t>OA-003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RESOLVIDO - horário inexistente avança ao primeiro instante válido; horário ambíguo usa o primeiro instante cronológico.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Fecha a regra de tempo civil para implementação e para o TS-024. Fuso IANA e Clock injetável permanecem obrigatórios.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/>
            <w:r>
              <w:rPr>
                <w:b/>
              </w:rPr>
              <w:t>OA-004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/>
            <w:r>
              <w:rPr>
                <w:b w:val="0"/>
              </w:rPr>
              <w:t>RESOLVIDO - AWS: RDS PostgreSQL, S3, SES, KMS, Secrets Manager e CloudWatch com OpenTelemetry.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/>
            <w:r>
              <w:rPr>
                <w:b w:val="0"/>
              </w:rPr>
              <w:t>Define a infraestrutura-alvo de homologação e produção. IaC, menor privilégio, criptografia, retenção e restore continuam sujeitos aos gates GX.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/>
              </w:rPr>
              <w:t>OA-005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RESOLVIDO - Puppeteer para geração de PDF pesquisável a partir de HTML.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</w:rPr>
              <w:t>Habilita RF-008 e os testes CA-010, TS-011 e TS-020. Execução deve ocorrer em worker isolado, com limites de recursos e sem acesso externo desnecessário.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/>
            <w:r>
              <w:rPr>
                <w:b/>
              </w:rPr>
              <w:t>OA-006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/>
            <w:r>
              <w:rPr>
                <w:b w:val="0"/>
              </w:rPr>
              <w:t>PENDENTE - avaliação regulatória e clínica do roadmap.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r/>
            <w:r>
              <w:rPr>
                <w:b w:val="0"/>
              </w:rPr>
              <w:t>Não bloqueia o MVP declaratório. Deve ser concluída antes de OCR, regras clínicas, interações ou comparação com bula.</w:t>
            </w:r>
          </w:p>
        </w:tc>
      </w:tr>
      <w:tr>
        <w:tc>
          <w:tcPr>
            <w:tcW w:type="dxa" w:w="3264"/>
            <w:tcPr>
              <w:tcW w:type="dxa" w:w="1080"/>
              <w:tcMar>
                <w:top w:w="100" w:type="dxa"/>
                <w:start w:w="120" w:type="dxa"/>
                <w:bottom w:w="100" w:type="dxa"/>
                <w:end w:w="120" w:type="dxa"/>
              </w:tcMar>
              <w:vAlign w:val="center"/>
              <w:shd w:fill="F4F7FA"/>
            </w:tcPr>
          </w:tcPr>
          <w:p>
            <w:r/>
            <w:r>
              <w:rPr>
                <w:b/>
              </w:rPr>
              <w:t>OA-007</w:t>
            </w:r>
          </w:p>
        </w:tc>
        <w:tc>
          <w:tcPr>
            <w:tcW w:type="dxa" w:w="3264"/>
            <w:tcPr>
              <w:tcW w:type="dxa" w:w="6264"/>
              <w:tcMar>
                <w:top w:w="100" w:type="dxa"/>
                <w:start w:w="120" w:type="dxa"/>
                <w:bottom w:w="100" w:type="dxa"/>
                <w:end w:w="120" w:type="dxa"/>
              </w:tcMar>
              <w:vAlign w:val="center"/>
              <w:shd w:fill="F4F7FA"/>
            </w:tcPr>
          </w:tcPr>
          <w:p>
            <w:r/>
            <w:r>
              <w:rPr>
                <w:b w:val="0"/>
              </w:rPr>
              <w:t>RESOLVIDO - concorrência de escrita por ETag/If-Match; row_version gerenciado pela persistência e permitido em representações de leitura; revogação global por POST /sessions/revocations; conta atual em /accounts/me; exportação cancelável em REQUESTED ou PROCESSING.</w:t>
            </w:r>
          </w:p>
        </w:tc>
        <w:tc>
          <w:tcPr>
            <w:tcW w:type="dxa" w:w="3264"/>
            <w:tcPr>
              <w:tcW w:type="dxa" w:w="1872"/>
              <w:tcMar>
                <w:top w:w="100" w:type="dxa"/>
                <w:start w:w="120" w:type="dxa"/>
                <w:bottom w:w="100" w:type="dxa"/>
                <w:end w:w="120" w:type="dxa"/>
              </w:tcMar>
              <w:vAlign w:val="center"/>
              <w:shd w:fill="F4F7FA"/>
            </w:tcPr>
          </w:tcPr>
          <w:p>
            <w:r/>
            <w:r>
              <w:rPr>
                <w:b w:val="0"/>
              </w:rPr>
              <w:t>Alinha a arquitetura à OpenAPI 02.33.1, elimina expected_row_version do payload e requestBody em DELETE /sessions, e formaliza o estado CANCELED para exportações.</w:t>
            </w:r>
          </w:p>
        </w:tc>
      </w:tr>
    </w:tbl>
    <w:p>
      <w:pPr>
        <w:spacing w:after="0"/>
      </w:pPr>
    </w:p>
    <w:p>
      <w:pPr/>
      <w:r>
        <w:t>Foi aprovado o Drizzle ORM por sua aderência ao TypeScript ponta a ponta, tipagem estática e simplicidade para geração e manutenção assistidas por IA. Migrações de produção permanecem SQL explícito, versionadas, revisadas e testadas contra PostgreSQL real.</w:t>
      </w:r>
    </w:p>
    <w:p>
      <w:pPr>
        <w:pStyle w:val="Heading3"/>
      </w:pPr>
      <w:r>
        <w:t>14.1 OA-001 - Acesso a dados</w:t>
      </w:r>
    </w:p>
    <w:p>
      <w:pPr/>
      <w:r>
        <w:t>Foi aprovado o pg-boss por atender ao volume esperado do MVP sem broker dedicado. Jobs devem nascer de Outbox gravada no mesmo commit da operação de negócio. Retentativas, deduplicação, retomada e reconciliação devem ser comprovadas pelos testes sentinela.</w:t>
      </w:r>
    </w:p>
    <w:p>
      <w:pPr>
        <w:pStyle w:val="Heading3"/>
      </w:pPr>
      <w:r>
        <w:t>14.2 OA-002 - Processamento assíncrono</w:t>
      </w:r>
    </w:p>
    <w:p>
      <w:pPr/>
      <w:r>
        <w:t>Fica normativa a regra da baseline 02.32: horário civil inexistente avança para o primeiro instante válido; horário ambíguo utiliza o primeiro instante cronológico. Instantes são persistidos em UTC, o fuso IANA da conta é aplicado nas regras civis e o Clock deve ser injetável.</w:t>
      </w:r>
    </w:p>
    <w:p>
      <w:pPr>
        <w:pStyle w:val="Heading3"/>
      </w:pPr>
      <w:r>
        <w:t>14.3 OA-003 - Tempo civil e DST</w:t>
      </w:r>
    </w:p>
    <w:p>
      <w:pPr/>
      <w:r>
        <w:t>Foi aprovada a AWS como plataforma-alvo: RDS PostgreSQL para persistência, S3 privado para PDFs, SES para e-mail, KMS para chaves, Secrets Manager para segredos e CloudWatch integrado ao OpenTelemetry para observabilidade. Recursos devem ser provisionados por IaC e configurados com menor privilégio.</w:t>
      </w:r>
    </w:p>
    <w:p>
      <w:pPr>
        <w:pStyle w:val="Heading3"/>
      </w:pPr>
      <w:r>
        <w:t>14.4 OA-004 - Infraestrutura-alvo</w:t>
      </w:r>
    </w:p>
    <w:p>
      <w:pPr/>
      <w:r>
        <w:t>Foi aprovado o Puppeteer para converter HTML controlado em PDF privado e pesquisável. A geração deve ocorrer em worker, a partir de snapshot imutável, com conteúdo escapado, rede restrita, tempo e memória limitados, armazenamento privado e expiração em 24 horas.</w:t>
      </w:r>
    </w:p>
    <w:p>
      <w:pPr>
        <w:pStyle w:val="Heading3"/>
      </w:pPr>
      <w:r>
        <w:t>14.5 OA-005 - Geração de PDF</w:t>
      </w:r>
    </w:p>
    <w:p>
      <w:pPr/>
      <w:r>
        <w:t>Com OA-001 a OA-005 resolvidos, não permanecem decisões técnicas abertas que impeçam o desenvolvimento e os testes do MVP declaratório. OA-006 permanece fora do escopo do MVP e bloqueia somente a entrada de capacidades clínicas ou de interpretação de documentos de saúde.</w:t>
      </w:r>
    </w:p>
    <w:p>
      <w:pPr>
        <w:pStyle w:val="Heading3"/>
      </w:pPr>
      <w:r>
        <w:t>14.6 Situação da arquitetura</w:t>
      </w:r>
    </w:p>
    <w:p>
      <w:pPr>
        <w:pStyle w:val="Heading3"/>
      </w:pPr>
      <w:r>
        <w:t>Com OA-001 a OA-005 resolvidos, a stack, a persistência, os jobs, a infraestrutura, o tratamento temporal e a geração de PDF estão definidos. O alinhamento do contrato HTTP é consolidado em OA-007. OA-006 permanece fora do escopo do MVP declaratório.</w:t>
      </w:r>
    </w:p>
    <w:p>
      <w:pPr/>
      <w:r>
        <w:t>A OpenAPI 02.33.1 é a fonte normativa da superfície HTTP. Recursos versionados utilizam ETag nas respostas e If-Match nas operações de atualização. O row_version é gerenciado internamente pela persistência e pode ser apresentado nas representações de leitura para rastreabilidade e depuração operacional. Nas operações de escrita, o mecanismo normativo de concorrência é exclusivamente ETag e If-Match. Nenhum cliente deve enviar row_version ou expected_row_version em payloads de criação ou atualização. Divergências de versão retornam VERSION_CONFLICT. A revogação global de sessões é o comando POST /sessions/revocations, exigindo sessão autenticada, reautenticação e Idempotency-Key.</w:t>
      </w:r>
    </w:p>
    <w:p>
      <w:pPr>
        <w:pStyle w:val="Heading3"/>
      </w:pPr>
      <w:r>
        <w:t>14.8 Conta autenticada e tempo civil</w:t>
      </w:r>
    </w:p>
    <w:p>
      <w:pPr/>
      <w:r>
        <w:t>A conta autenticada é consultada por GET /accounts/me e seus atributos editáveis são atualizados por PUT /accounts/me. Na baseline atual, somente o nome é editável por esse recurso. O account_timezone IANA é definido na criação e permanece imutável no MVP, preservando as regras de geração de ocorrências, histórico e DST.</w:t>
      </w:r>
    </w:p>
    <w:p>
      <w:pPr>
        <w:pStyle w:val="Heading3"/>
      </w:pPr>
      <w:r>
        <w:t>14.9 Ciclo de exportação</w:t>
      </w:r>
    </w:p>
    <w:p>
      <w:pPr/>
      <w:r>
        <w:t>Exportações nos estados REQUESTED ou PROCESSING podem ser canceladas por DELETE /exports/{export_id}. O cancelamento produz o estado CANCELED e não se aplica a estados terminais. Geração, download, privacidade, snapshot e expiração continuam sujeitos a RF-008 e aos testes de contrato e sentinela correspondentes.</w:t>
      </w:r>
    </w:p>
    <w:p>
      <w:pPr>
        <w:pStyle w:val="Heading3"/>
      </w:pPr>
      <w:r>
        <w:t>14.10 Prevalência e execução contract-first</w:t>
      </w:r>
    </w:p>
    <w:p>
      <w:pPr/>
      <w:r>
        <w:t>A Especificação Funcional 02.32 permanece normativa para regras de negócio, privacidade e estados não definidos no contrato HTTP. A OpenAPI 02.33.1 prevalece para rotas, métodos, cabeçalhos, payloads, schemas, enums, códigos HTTP e operationId. DTOs, clientes, documentação Swagger e testes de contrato devem ser derivados ou validados contra esse arquivo; endpoints fora do contrato são proibidos.</w:t>
      </w:r>
    </w:p>
    <w:p>
      <w:pPr>
        <w:pStyle w:val="Heading3"/>
      </w:pPr>
      <w:r>
        <w:t>14.11 Situação consolidada</w:t>
      </w:r>
    </w:p>
    <w:p>
      <w:pPr/>
      <w:r>
        <w:t>Com OA-001 a OA-005 e OA-007 resolvidos, não permanecem decisões técnicas abertas que impeçam o desenvolvimento, os testes automatizados, a geração de código ou o CI/CD do MVP declaratório. OA-006 permanece pendente apenas para OCR, interpretação de receitas, regras clínicas, interações, contraindicações ou comparação com informação farmacológica.</w:t>
      </w:r>
    </w:p>
    <w:p>
      <w:pPr>
        <w:pStyle w:val="Heading1"/>
      </w:pPr>
      <w:r>
        <w:t>15. Aprovação e vigência</w:t>
      </w:r>
    </w:p>
    <w:p>
      <w:r>
        <w:t>Esta decisão, na versão 1.4, entra em vigor para a fundação técnica do MeuRemedio. OA-001 a OA-005 e OA-007 estão encerrados. OA-006 permanece restrita ao roadmap clínico futuro. Mudanças que contradigam as decisões aprovadas exigem nova ADR que substitua ou complemente este documento.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Papel</w:t>
            </w:r>
          </w:p>
        </w:tc>
        <w:tc>
          <w:tcPr>
            <w:tcW w:type="dxa" w:w="316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316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Status/Data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Produto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definir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Pendente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Arquitetura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A definir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Pendente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Segurança e Privacidade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definir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Pendente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b/>
                <w:sz w:val="17"/>
              </w:rPr>
              <w:t>QA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A definir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</w:pPr>
            <w:r>
              <w:rPr>
                <w:sz w:val="17"/>
              </w:rPr>
              <w:t>Pendente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16. Controles de Segurança, LGPD e Governança de Dados Sensíveis</w:t>
      </w:r>
    </w:p>
    <w:p>
      <w:pPr>
        <w:pStyle w:val="Heading2"/>
      </w:pPr>
      <w:r>
        <w:t>16.1 Classificação de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Classe</w:t>
            </w:r>
          </w:p>
        </w:tc>
        <w:tc>
          <w:tcPr>
            <w:tcW w:type="dxa" w:w="4896"/>
          </w:tcPr>
          <w:p>
            <w:r>
              <w:t>Exemplos</w:t>
            </w:r>
          </w:p>
        </w:tc>
      </w:tr>
      <w:tr>
        <w:tc>
          <w:tcPr>
            <w:tcW w:type="dxa" w:w="4896"/>
          </w:tcPr>
          <w:p>
            <w:r>
              <w:t>Pública</w:t>
            </w:r>
          </w:p>
        </w:tc>
        <w:tc>
          <w:tcPr>
            <w:tcW w:type="dxa" w:w="4896"/>
          </w:tcPr>
          <w:p>
            <w:r>
              <w:t>Documentação pública e material institucional</w:t>
            </w:r>
          </w:p>
        </w:tc>
      </w:tr>
      <w:tr>
        <w:tc>
          <w:tcPr>
            <w:tcW w:type="dxa" w:w="4896"/>
          </w:tcPr>
          <w:p>
            <w:r>
              <w:t>Interna</w:t>
            </w:r>
          </w:p>
        </w:tc>
        <w:tc>
          <w:tcPr>
            <w:tcW w:type="dxa" w:w="4896"/>
          </w:tcPr>
          <w:p>
            <w:r>
              <w:t>Métricas operacionais e telemetria sem identificação</w:t>
            </w:r>
          </w:p>
        </w:tc>
      </w:tr>
      <w:tr>
        <w:tc>
          <w:tcPr>
            <w:tcW w:type="dxa" w:w="4896"/>
          </w:tcPr>
          <w:p>
            <w:r>
              <w:t>Confidencial</w:t>
            </w:r>
          </w:p>
        </w:tc>
        <w:tc>
          <w:tcPr>
            <w:tcW w:type="dxa" w:w="4896"/>
          </w:tcPr>
          <w:p>
            <w:r>
              <w:t>Cadastro, preferências e informações de conta</w:t>
            </w:r>
          </w:p>
        </w:tc>
      </w:tr>
      <w:tr>
        <w:tc>
          <w:tcPr>
            <w:tcW w:type="dxa" w:w="4896"/>
          </w:tcPr>
          <w:p>
            <w:r>
              <w:t>Sensível</w:t>
            </w:r>
          </w:p>
        </w:tc>
        <w:tc>
          <w:tcPr>
            <w:tcW w:type="dxa" w:w="4896"/>
          </w:tcPr>
          <w:p>
            <w:r>
              <w:t>Dados relacionados à medicação, respostas, ocorrências e histórico</w:t>
            </w:r>
          </w:p>
        </w:tc>
      </w:tr>
      <w:tr>
        <w:tc>
          <w:tcPr>
            <w:tcW w:type="dxa" w:w="4896"/>
          </w:tcPr>
          <w:p>
            <w:r>
              <w:t>Altamente Sensível</w:t>
            </w:r>
          </w:p>
        </w:tc>
        <w:tc>
          <w:tcPr>
            <w:tcW w:type="dxa" w:w="4896"/>
          </w:tcPr>
          <w:p>
            <w:r>
              <w:t>Receitas médicas, documentos clínicos e inferências de IA relacionadas à saúde</w:t>
            </w:r>
          </w:p>
        </w:tc>
      </w:tr>
    </w:tbl>
    <w:p>
      <w:pPr>
        <w:pStyle w:val="Heading2"/>
      </w:pPr>
      <w:r>
        <w:t>16.2 Tratamento de dados pessoais</w:t>
      </w:r>
    </w:p>
    <w:p>
      <w:pPr>
        <w:pStyle w:val="ListBullet"/>
      </w:pPr>
      <w:r>
        <w:t>Todo tratamento deve possuir finalidade documentada e base legal definida pelo controlador.</w:t>
      </w:r>
    </w:p>
    <w:p>
      <w:pPr>
        <w:pStyle w:val="ListBullet"/>
      </w:pPr>
      <w:r>
        <w:t>Dados relacionados à saúde serão tratados como dados pessoais sensíveis.</w:t>
      </w:r>
    </w:p>
    <w:p>
      <w:pPr>
        <w:pStyle w:val="ListBullet"/>
      </w:pPr>
      <w:r>
        <w:t>A coleta obedecerá ao princípio da minimização de dados.</w:t>
      </w:r>
    </w:p>
    <w:p>
      <w:pPr>
        <w:pStyle w:val="ListBullet"/>
      </w:pPr>
      <w:r>
        <w:t>Campos não necessários não deverão ser armazenados.</w:t>
      </w:r>
    </w:p>
    <w:p>
      <w:pPr>
        <w:pStyle w:val="Heading2"/>
      </w:pPr>
      <w:r>
        <w:t>16.3 Retenção e descarte</w:t>
      </w:r>
    </w:p>
    <w:p>
      <w:pPr>
        <w:pStyle w:val="ListBullet"/>
      </w:pPr>
      <w:r>
        <w:t>Cada domínio deverá possuir política explícita de retenção.</w:t>
      </w:r>
    </w:p>
    <w:p>
      <w:pPr>
        <w:pStyle w:val="ListBullet"/>
      </w:pPr>
      <w:r>
        <w:t>A exclusão deverá ser verificável e auditável.</w:t>
      </w:r>
    </w:p>
    <w:p>
      <w:pPr>
        <w:pStyle w:val="ListBullet"/>
      </w:pPr>
      <w:r>
        <w:t>Mecanismos de expurgo deverão possuir testes automatizados.</w:t>
      </w:r>
    </w:p>
    <w:p>
      <w:pPr>
        <w:pStyle w:val="ListBullet"/>
      </w:pPr>
      <w:r>
        <w:t>Backups deverão possuir política de retenção compatível com os objetivos de recuperação.</w:t>
      </w:r>
    </w:p>
    <w:p>
      <w:pPr>
        <w:pStyle w:val="Heading2"/>
      </w:pPr>
      <w:r>
        <w:t>16.4 Direitos do titular</w:t>
      </w:r>
    </w:p>
    <w:p>
      <w:pPr>
        <w:pStyle w:val="ListBullet"/>
      </w:pPr>
      <w:r>
        <w:t>Acesso aos dados.</w:t>
      </w:r>
    </w:p>
    <w:p>
      <w:pPr>
        <w:pStyle w:val="ListBullet"/>
      </w:pPr>
      <w:r>
        <w:t>Correção.</w:t>
      </w:r>
    </w:p>
    <w:p>
      <w:pPr>
        <w:pStyle w:val="ListBullet"/>
      </w:pPr>
      <w:r>
        <w:t>Exclusão.</w:t>
      </w:r>
    </w:p>
    <w:p>
      <w:pPr>
        <w:pStyle w:val="ListBullet"/>
      </w:pPr>
      <w:r>
        <w:t>Anonimização quando aplicável.</w:t>
      </w:r>
    </w:p>
    <w:p>
      <w:pPr>
        <w:pStyle w:val="ListBullet"/>
      </w:pPr>
      <w:r>
        <w:t>Portabilidade.</w:t>
      </w:r>
    </w:p>
    <w:p>
      <w:pPr>
        <w:pStyle w:val="ListBullet"/>
      </w:pPr>
      <w:r>
        <w:t>Revogação de consentimento quando aplicável.</w:t>
      </w:r>
    </w:p>
    <w:p>
      <w:pPr>
        <w:pStyle w:val="Heading2"/>
      </w:pPr>
      <w:r>
        <w:t>16.5 Regras adicionais obrigatórias</w:t>
      </w:r>
    </w:p>
    <w:p>
      <w:pPr>
        <w:pStyle w:val="ListBullet"/>
      </w:pPr>
      <w:r>
        <w:t>Criptografia obrigatória em trânsito e em repouso para dados pessoais e de saúde.</w:t>
      </w:r>
    </w:p>
    <w:p>
      <w:pPr>
        <w:pStyle w:val="ListBullet"/>
      </w:pPr>
      <w:r>
        <w:t>Segredos não podem ser armazenados em código-fonte, repositórios ou imagens de container.</w:t>
      </w:r>
    </w:p>
    <w:p>
      <w:pPr>
        <w:pStyle w:val="ListBullet"/>
      </w:pPr>
      <w:r>
        <w:t>Chaves criptográficas devem ser gerenciadas por KMS dedicado.</w:t>
      </w:r>
    </w:p>
    <w:p>
      <w:pPr>
        <w:pStyle w:val="ListBullet"/>
      </w:pPr>
      <w:r>
        <w:t>Eventos críticos devem gerar trilha de auditoria imutável.</w:t>
      </w:r>
    </w:p>
    <w:p>
      <w:pPr>
        <w:pStyle w:val="ListBullet"/>
      </w:pPr>
      <w:r>
        <w:t>Todo dado persistido deve possuir classificação de sensibilidade.</w:t>
      </w:r>
    </w:p>
    <w:p>
      <w:pPr>
        <w:pStyle w:val="ListBullet"/>
      </w:pPr>
      <w:r>
        <w:t>Todo módulo novo deve passar por threat modeling antes da produção.</w:t>
      </w:r>
    </w:p>
    <w:p>
      <w:pPr>
        <w:pStyle w:val="Heading2"/>
      </w:pPr>
      <w:r>
        <w:t>16.6 Governança de IA e requisitos regulatórios</w:t>
      </w:r>
    </w:p>
    <w:p>
      <w:pPr>
        <w:pStyle w:val="ListBullet"/>
      </w:pPr>
      <w:r>
        <w:t>Dados reais de saúde não podem ser usados para treinamento ou avaliação de modelos.</w:t>
      </w:r>
    </w:p>
    <w:p>
      <w:pPr>
        <w:pStyle w:val="ListBullet"/>
      </w:pPr>
      <w:r>
        <w:t>Ambientes de desenvolvimento utilizarão dados sintéticos ou anonimizados.</w:t>
      </w:r>
    </w:p>
    <w:p>
      <w:pPr>
        <w:pStyle w:val="ListBullet"/>
      </w:pPr>
      <w:r>
        <w:t>Modelos, prompts e bases de conhecimento deverão ser versionados.</w:t>
      </w:r>
    </w:p>
    <w:p>
      <w:pPr>
        <w:pStyle w:val="ListBullet"/>
      </w:pPr>
      <w:r>
        <w:t>Inferências relacionadas à saúde deverão registrar origem, versão e evidências.</w:t>
      </w:r>
    </w:p>
    <w:p>
      <w:pPr>
        <w:pStyle w:val="ListBullet"/>
      </w:pPr>
      <w:r>
        <w:t>Funcionalidades com potencial de diagnóstico, recomendação terapêutica ou suporte à decisão clínica exigem revisão regulatória formal antes da produção.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Confidencial - Uso de produto e engenharia |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F8C8D"/>
        <w:sz w:val="16"/>
      </w:rPr>
      <w:t>MeuRemedio | ADR-001 | Arquitetura Base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ADR-001 - Arquitetura Base do Projeto MeuRemedio - v1.4</dc:title>
  <dc:subject>Versão consolidada e alinhada à OpenAPI 02.33.1</dc:subject>
  <dc:creator>M365 Copilot</dc:creator>
  <keywords>ADR, MeuRemedio, TypeScript, NestJS, Next.js, PostgreSQL, IA-First</keywords>
  <dc:description>Correção textual de coerência com a OpenAPI 02.33.1: row_version pode aparecer em representações de leitura; ETag/If-Match são normativos para escrita.</dc:description>
  <lastModifiedBy>M365 Copilot</lastModifiedBy>
  <revision>1</revision>
  <dcterms:created xsi:type="dcterms:W3CDTF">2026-09-21T22:16:20.3223610Z</dcterms:created>
  <dcterms:modified xsi:type="dcterms:W3CDTF">2026-09-21T22:16:20.3223610Z</dcterms:modified>
  <category/>
</coreProperties>
</file>