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EAP manuscript tables</w:t>
      </w:r>
    </w:p>
    <w:p>
      <w:r>
        <w:rPr>
          <w:i/>
          <w:sz w:val="16"/>
        </w:rPr>
        <w:t>Generated 2026-08-26T08:51:09.546065+00:00 from eap_results_v5.json (git 6c833c6b, dk_dof_correction=False). Every value in this document resolves to a key in that file.</w:t>
      </w:r>
    </w:p>
    <w:p/>
    <w:p>
      <w:r>
        <w:rPr>
          <w:b/>
          <w:sz w:val="20"/>
        </w:rPr>
        <w:t>Table 1. Descriptive statistics, Panel A (N = 9, T = 25, Obs = 225).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Obs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Mean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Std. Dev.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Min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ln(TFP) — Solow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5.597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0.309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4.964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6.286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Malmquist TFP Change (VRS)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172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0.984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0.040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0.766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1.080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Malmquist TFP Change (CRS)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0.981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0.039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0.771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1.087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ln(AI patent stock per capita)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0.998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0.595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2.225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AI Patents (raw count)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60.258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119.712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938.000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ln(GDP per capita)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9.078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0.406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8.090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9.850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Trade openness (% GDP)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51.115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17.127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21.852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89.815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ln(HC index)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0.985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0.715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1.232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FDI inflows (% GDP)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3.809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2.229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−6.729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12.480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Government consumption (% GDP)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13.857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2.988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7.588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20.379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Urban population (%)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81.363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8.436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59.046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95.598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Financial dev. (credit % GDP)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40.724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26.256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9.683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124.876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Internet users (%)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46.947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27.322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2.208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94.457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Broadband subs. (per 100)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10.249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8.283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0.004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33.487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Mobile subs. (per 100)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90.795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47.032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4.789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179.931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Rule of Law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−0.077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0.625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−0.925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1.349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IS ratio (services/industry VA)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2.221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0.592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1.251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3.919</w:t>
            </w:r>
          </w:p>
        </w:tc>
      </w:tr>
    </w:tbl>
    <w:p>
      <w:r>
        <w:rPr>
          <w:i/>
          <w:sz w:val="16"/>
        </w:rPr>
        <w:t>Notes: Author calculations from World Bank WDI, ILOSTAT, Penn World Table 10.01, WGI, and the WIPO patent search described in Section 3.3. VRS Malmquist N = 172 reflects infeasibility of the variable-returns-to-scale frontier for some country-years.</w:t>
      </w:r>
    </w:p>
    <w:p/>
    <w:p>
      <w:r>
        <w:rPr>
          <w:b/>
          <w:sz w:val="20"/>
        </w:rPr>
        <w:t>Table 2. Pesaran (2004) cross-sectional dependence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Dependent variable</w:t>
            </w:r>
          </w:p>
        </w:tc>
        <w:tc>
          <w:tcPr>
            <w:tcW w:type="dxa" w:w="2160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CD statistic</w:t>
            </w:r>
          </w:p>
        </w:tc>
        <w:tc>
          <w:tcPr>
            <w:tcW w:type="dxa" w:w="2160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2160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Inference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ln(TFP) — Solow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0.75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0.456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Fail to reject independence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Malmquist TFP Change (VRS)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7.37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&lt; 0.001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Reject: strong CSD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Malmquist TFP Change (CRS)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11.05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&lt; 0.001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Reject: strong CSD</w:t>
            </w:r>
          </w:p>
        </w:tc>
      </w:tr>
    </w:tbl>
    <w:p>
      <w:r>
        <w:rPr>
          <w:i/>
          <w:sz w:val="16"/>
        </w:rPr>
        <w:t>Notes: CD statistic distributed N(0,1) under cross-sectional independence. Computed on residuals of the two-way FE model with the six-control parsimonious specification.</w:t>
      </w:r>
    </w:p>
    <w:p/>
    <w:p>
      <w:r>
        <w:rPr>
          <w:b/>
          <w:sz w:val="20"/>
        </w:rPr>
        <w:t>Table 3. Benchmark and CSD-robust estimates of the AI–TFP elasticity, Panel 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8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Solow ln(TFP)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Malmquist VRS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Malmquist CRS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1234"/>
            <w:shd w:fill="1F4E78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FE-DK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CCEP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FE-DK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CCEP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FE-DK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CCEP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ln(AI patent stock)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−0.078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−0.008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0.006*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−0.009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−0.008*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(0.012)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(0.057)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(0.008)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(0.003)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(0.008)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(0.005)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172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172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0.633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0.847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0.088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0.552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0.048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0.485</w:t>
            </w:r>
          </w:p>
        </w:tc>
      </w:tr>
    </w:tbl>
    <w:p>
      <w:r>
        <w:rPr>
          <w:i/>
          <w:sz w:val="16"/>
        </w:rPr>
        <w:t>Notes: Pooled OLS on Solow ln(TFP) yields β = −0.114** (SE (0.057)), reported in the text but omitted from the table. Standard errors in parentheses; FE-DK uses Driscoll-Kraay with Bartlett kernel. Significance: * p &lt; 0.10, ** p &lt; 0.05, *** p &lt; 0.01.</w:t>
      </w:r>
    </w:p>
    <w:p/>
    <w:p>
      <w:r>
        <w:rPr>
          <w:b/>
          <w:sz w:val="20"/>
        </w:rPr>
        <w:t>Table 4. Heterogeneity by institutional quality and digital infrastructure.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8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Solow ln(TFP)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Solow ln(TFP)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Solow ln(TFP)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Malmquist CRS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Malmquist CRS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Malmquist CRS</w:t>
            </w:r>
          </w:p>
        </w:tc>
      </w:tr>
      <w:tr>
        <w:tc>
          <w:tcPr>
            <w:tcW w:type="dxa" w:w="1234"/>
            <w:shd w:fill="1F4E78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(1) RoL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(2) Mobile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(3) Broadband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(4) RoL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(5) Mobile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(6) Broadband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Panel A. Interaction terms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ln(AI patent stock), main effect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−0.0068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0.0016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0.0155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−0.0123*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−0.0329**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−0.0232**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ln(AI) × MOD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−0.0473***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−0.0002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−0.0028**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0.0014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0.0002**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0.0017**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(0.0159)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(0.0003)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(0.0014)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(0.0102)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(0.0001)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(0.0007)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Panel B. Median-split subsample β(ln AI)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Below-median subsample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+0.028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+0.026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+0.001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−0.023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−0.045**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−0.018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Above-median subsample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−0.058***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+0.030**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+0.034*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+0.013*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N (interaction model)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215</w:t>
            </w:r>
          </w:p>
        </w:tc>
      </w:tr>
    </w:tbl>
    <w:p>
      <w:r>
        <w:rPr>
          <w:i/>
          <w:sz w:val="16"/>
        </w:rPr>
        <w:t>Notes: The main-effect row reports each interaction model's own coefficient on ln(AI), which is conditional on MOD = 0 and therefore differs from the baseline estimate in Table 3. Median splits estimated separately above and below the sample median of each moderator. Driscoll-Kraay standard errors. Significance: * p &lt; 0.10, ** p &lt; 0.05, *** p &lt; 0.01.</w:t>
      </w:r>
    </w:p>
    <w:p/>
    <w:p>
      <w:r>
        <w:rPr>
          <w:b/>
          <w:sz w:val="20"/>
        </w:rPr>
        <w:t>Table 5. Panel quantile regression on log Solow TFP, Canay (2011) two-step.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(1) τ = 0.10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(2) τ = 0.25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(3) τ = 0.50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(4) τ = 0.75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(5) τ = 0.90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ln(AI patent stock)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−0.057**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−0.048***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−0.034***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−0.021**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−0.042***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(0.023)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(0.014)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(0.008)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(0.009)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(0.011)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</w:tr>
    </w:tbl>
    <w:p>
      <w:r>
        <w:rPr>
          <w:i/>
          <w:sz w:val="16"/>
        </w:rPr>
        <w:t>Notes: Step 1: two-way FE; Step 2: quantile regression on the entity-FE-purged dependent variable. Block-bootstrap standard errors clustered by country (1,000 replications) in parentheses. Significance: * p &lt; 0.10, ** p &lt; 0.05, *** p &lt; 0.01.</w:t>
      </w:r>
    </w:p>
    <w:p/>
    <w:p>
      <w:r>
        <w:rPr>
          <w:b/>
          <w:sz w:val="20"/>
        </w:rPr>
        <w:t>Table 6. Mediation analysis and robustness battery.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8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Panel A. Baron-Kenny mediation analysis (Solow TFP)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(1) IS Step 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(2) IS Step 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(3) HC Step 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(4) HC Step 3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ln(AI) (α₁ or δ₁)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−0.014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−0.016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Mediator (δ₂)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0.033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−0.308***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Sobel z (p-value)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−0.67 (0.50)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1.13 (0.26)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% Mediated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3.7%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−28.4%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Panel B. Robustness battery — lnAI coefficient (FE-DK)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Specification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Solow β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Malmquist CRS β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Baseline (FE-DK)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−0.016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−0.009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Raw patent count (ln 1+flow)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0.004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−0.001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Alt. depreciation δp = 0.22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−0.017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Per-GDP normalisation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−0.046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−0.034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One-period lag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−0.032*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−0.013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216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Two-period lag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−0.031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207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2SLS, lagged AI (within)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−0.036*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216</w:t>
            </w:r>
          </w:p>
        </w:tc>
      </w:tr>
    </w:tbl>
    <w:p>
      <w:r>
        <w:rPr>
          <w:i/>
          <w:sz w:val="16"/>
        </w:rPr>
        <w:t>Notes: Panel A: IS = services-to-industry value-added ratio; HC = Penn World Table 10.01 human capital index. Step 2 regresses the mediator on lnAI; Step 3 regresses TFP on lnAI and the mediator. Sobel p-values from the asymptotic ab-product test. Panel B reports the lnAI coefficient under each robustness specification, generated by pipeline_v5/robustness_verification.py. Sample size varies across specifications because the lagged and 2SLS models lose initial years. Significance: * p &lt; 0.10, ** p &lt; 0.05, *** p &lt; 0.01.</w:t>
      </w:r>
    </w:p>
    <w:p/>
    <w:p>
      <w:r>
        <w:rPr>
          <w:b/>
          <w:sz w:val="20"/>
        </w:rPr>
        <w:t>Table 7. Panel B replication using OECD AI publications (N = 17, T = 9, 2016–2024).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8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Solow ln(TFP)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Solow ln(TFP)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Solow ln(TFP)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Malmquist CRS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Malmquist CRS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Malmquist CRS</w:t>
            </w:r>
          </w:p>
        </w:tc>
      </w:tr>
      <w:tr>
        <w:tc>
          <w:tcPr>
            <w:tcW w:type="dxa" w:w="1234"/>
            <w:shd w:fill="1F4E78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(1) OLS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(2) FE-DK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(3) CCEP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(4) OLS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(5) FE-DK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(6) CCEP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ln(AI publications)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−0.007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+0.004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−0.007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+0.002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−0.002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+0.001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136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Pesaran CD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3.86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14.09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r>
        <w:rPr>
          <w:i/>
          <w:sz w:val="16"/>
        </w:rPr>
        <w:t>Notes: ln(AI publications) is the log OECD.AI Observatory all-fields publication count. Significance: * p &lt; 0.10, ** p &lt; 0.05, *** p &lt; 0.01.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