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3A0A0" w14:textId="77777777" w:rsidR="00BA62E2" w:rsidRDefault="00BA62E2">
      <w:pPr>
        <w:spacing w:after="140"/>
      </w:pPr>
    </w:p>
    <w:p w14:paraId="1EC5F2D8" w14:textId="77777777" w:rsidR="00BA62E2" w:rsidRDefault="00F3524A">
      <w:pPr>
        <w:spacing w:after="60"/>
        <w:jc w:val="center"/>
      </w:pPr>
      <w:r>
        <w:rPr>
          <w:b/>
          <w:bCs/>
          <w:color w:val="2D6A4F"/>
          <w:sz w:val="48"/>
          <w:szCs w:val="48"/>
        </w:rPr>
        <w:t>G A I A</w:t>
      </w:r>
    </w:p>
    <w:p w14:paraId="2B01FE58" w14:textId="77777777" w:rsidR="00BA62E2" w:rsidRDefault="00F3524A">
      <w:pPr>
        <w:spacing w:after="120"/>
        <w:jc w:val="center"/>
      </w:pPr>
      <w:r>
        <w:rPr>
          <w:i/>
          <w:iCs/>
          <w:color w:val="1A1A1A"/>
          <w:sz w:val="24"/>
          <w:szCs w:val="24"/>
        </w:rPr>
        <w:t>Why Build It Even If Adoption Is Uncertain</w:t>
      </w:r>
    </w:p>
    <w:p w14:paraId="06874074" w14:textId="77777777" w:rsidR="00BA62E2" w:rsidRDefault="00BA62E2">
      <w:pPr>
        <w:pBdr>
          <w:bottom w:val="single" w:sz="6" w:space="1" w:color="52B788"/>
        </w:pBdr>
        <w:spacing w:before="80" w:after="160"/>
      </w:pPr>
    </w:p>
    <w:p w14:paraId="0DC04463" w14:textId="77777777" w:rsidR="00BA62E2" w:rsidRDefault="00F3524A">
      <w:pPr>
        <w:pStyle w:val="Heading1"/>
        <w:spacing w:before="280" w:after="140"/>
      </w:pPr>
      <w:r>
        <w:rPr>
          <w:b/>
          <w:bCs/>
          <w:color w:val="2D6A4F"/>
          <w:sz w:val="30"/>
          <w:szCs w:val="30"/>
        </w:rPr>
        <w:t>The Argument, In One Sentence</w:t>
      </w:r>
    </w:p>
    <w:p w14:paraId="240C3DD1" w14:textId="77777777" w:rsidR="00BA62E2" w:rsidRDefault="00F3524A">
      <w:pPr>
        <w:pBdr>
          <w:left w:val="thick" w:sz="12" w:space="10" w:color="52B788"/>
        </w:pBdr>
        <w:spacing w:before="160" w:after="160"/>
        <w:ind w:left="600" w:right="600"/>
      </w:pPr>
      <w:r>
        <w:rPr>
          <w:i/>
          <w:iCs/>
          <w:color w:val="444444"/>
        </w:rPr>
        <w:t>You don’t have to believe Gaia will replace the current monetary system to think it’s worth building. You only have to believe there is a non-zero chance the current system fails faster than expected — and that having a tested, working alternative ready is better than having none.</w:t>
      </w:r>
    </w:p>
    <w:p w14:paraId="04AC4914" w14:textId="77777777" w:rsidR="00BA62E2" w:rsidRDefault="00BA62E2">
      <w:pPr>
        <w:spacing w:after="140"/>
      </w:pPr>
    </w:p>
    <w:p w14:paraId="607C490C" w14:textId="77777777" w:rsidR="00BA62E2" w:rsidRDefault="00F3524A">
      <w:pPr>
        <w:pStyle w:val="Heading1"/>
        <w:spacing w:before="280" w:after="140"/>
      </w:pPr>
      <w:r>
        <w:rPr>
          <w:b/>
          <w:bCs/>
          <w:color w:val="2D6A4F"/>
          <w:sz w:val="30"/>
          <w:szCs w:val="30"/>
        </w:rPr>
        <w:t>This Is Not a New Kind of Argument</w:t>
      </w:r>
    </w:p>
    <w:p w14:paraId="1B0B47D3" w14:textId="77777777" w:rsidR="00BA62E2" w:rsidRDefault="00F3524A">
      <w:pPr>
        <w:spacing w:before="60" w:after="120"/>
        <w:jc w:val="both"/>
      </w:pPr>
      <w:r>
        <w:rPr>
          <w:color w:val="1A1A1A"/>
        </w:rPr>
        <w:t>Every serious institution already accepts this logic in every other domain that matters:</w:t>
      </w:r>
    </w:p>
    <w:p w14:paraId="1ACF23CD" w14:textId="77777777" w:rsidR="00BA62E2" w:rsidRDefault="00F3524A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</w:rPr>
        <w:t>Militaries maintain redundant command and communication systems they hope never to use.</w:t>
      </w:r>
    </w:p>
    <w:p w14:paraId="179D2127" w14:textId="77777777" w:rsidR="00BA62E2" w:rsidRDefault="00F3524A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</w:rPr>
        <w:t>Central banks hold strategic reserves against currency shocks that may never materialise.</w:t>
      </w:r>
    </w:p>
    <w:p w14:paraId="020D990F" w14:textId="77777777" w:rsidR="00BA62E2" w:rsidRDefault="00F3524A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</w:rPr>
        <w:t>Banks fund disaster recovery sites that sit idle for years, sometimes decades.</w:t>
      </w:r>
    </w:p>
    <w:p w14:paraId="5EB5774A" w14:textId="77777777" w:rsidR="00BA62E2" w:rsidRDefault="00F3524A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</w:rPr>
        <w:t>Nations stockpile grain, fuel, and medical supplies against emergencies that may never come.</w:t>
      </w:r>
    </w:p>
    <w:p w14:paraId="72AE3D7B" w14:textId="77777777" w:rsidR="00BA62E2" w:rsidRDefault="00F3524A">
      <w:pPr>
        <w:spacing w:before="60" w:after="120"/>
        <w:jc w:val="both"/>
      </w:pPr>
      <w:r>
        <w:rPr>
          <w:color w:val="1A1A1A"/>
        </w:rPr>
        <w:t>Nobody calls this wasteful. It is called prudence. The same logic applies to monetary architecture — arguably more urgently, given the visible acceleration of ecological and financial instability.</w:t>
      </w:r>
    </w:p>
    <w:p w14:paraId="2179823C" w14:textId="77777777" w:rsidR="00BA62E2" w:rsidRDefault="00BA62E2">
      <w:pPr>
        <w:spacing w:after="140"/>
      </w:pPr>
    </w:p>
    <w:p w14:paraId="4D85F6A9" w14:textId="77777777" w:rsidR="00BA62E2" w:rsidRDefault="00F3524A">
      <w:pPr>
        <w:pStyle w:val="Heading1"/>
        <w:spacing w:before="280" w:after="140"/>
      </w:pPr>
      <w:r>
        <w:rPr>
          <w:b/>
          <w:bCs/>
          <w:color w:val="2D6A4F"/>
          <w:sz w:val="30"/>
          <w:szCs w:val="30"/>
        </w:rPr>
        <w:t>The Asymmetry Is the Whole Argument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74"/>
        <w:gridCol w:w="5326"/>
      </w:tblGrid>
      <w:tr w:rsidR="00BA62E2" w14:paraId="219B22C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549A72" w14:textId="77777777" w:rsidR="00BA62E2" w:rsidRDefault="00F3524A"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B5D436" w14:textId="77777777" w:rsidR="00BA62E2" w:rsidRDefault="00F3524A">
            <w:r>
              <w:rPr>
                <w:b/>
                <w:bCs/>
                <w:color w:val="FFFFFF"/>
                <w:sz w:val="18"/>
                <w:szCs w:val="18"/>
              </w:rPr>
              <w:t>Cost / Consequence</w:t>
            </w:r>
          </w:p>
        </w:tc>
      </w:tr>
      <w:tr w:rsidR="00BA62E2" w14:paraId="24BFF99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926CEF" w14:textId="77777777" w:rsidR="00BA62E2" w:rsidRDefault="00F3524A">
            <w:r>
              <w:rPr>
                <w:color w:val="1A1A1A"/>
                <w:sz w:val="18"/>
                <w:szCs w:val="18"/>
              </w:rPr>
              <w:t>Maintain small-scale Gaia in parallel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69E697" w14:textId="77777777" w:rsidR="00BA62E2" w:rsidRDefault="00F3524A">
            <w:r>
              <w:rPr>
                <w:color w:val="2D6A4F"/>
                <w:sz w:val="18"/>
                <w:szCs w:val="18"/>
              </w:rPr>
              <w:t>Low — modest resources, modest participants, ongoing measurement infrastructure</w:t>
            </w:r>
          </w:p>
        </w:tc>
      </w:tr>
      <w:tr w:rsidR="00BA62E2" w14:paraId="7D372E3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D5C075" w14:textId="77777777" w:rsidR="00BA62E2" w:rsidRDefault="00F3524A">
            <w:r>
              <w:rPr>
                <w:color w:val="1A1A1A"/>
                <w:sz w:val="18"/>
                <w:szCs w:val="18"/>
              </w:rPr>
              <w:t>Do nothing, and the current system holds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7E4C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453CB7" w14:textId="77777777" w:rsidR="00BA62E2" w:rsidRDefault="00F3524A">
            <w:r>
              <w:rPr>
                <w:color w:val="2D6A4F"/>
                <w:sz w:val="18"/>
                <w:szCs w:val="18"/>
              </w:rPr>
              <w:t>No cost — the option simply wasn’t needed</w:t>
            </w:r>
          </w:p>
        </w:tc>
      </w:tr>
      <w:tr w:rsidR="00BA62E2" w14:paraId="0B10F26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F3F55A" w14:textId="77777777" w:rsidR="00BA62E2" w:rsidRDefault="00F3524A">
            <w:r>
              <w:rPr>
                <w:color w:val="1A1A1A"/>
                <w:sz w:val="18"/>
                <w:szCs w:val="18"/>
              </w:rPr>
              <w:t>Do nothing, and the current system fails faster than expected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1858BB" w14:textId="77777777" w:rsidR="00BA62E2" w:rsidRDefault="00F3524A">
            <w:r>
              <w:rPr>
                <w:color w:val="C0392B"/>
                <w:sz w:val="18"/>
                <w:szCs w:val="18"/>
              </w:rPr>
              <w:t>Severe — no tested alternative exists; must be designed from zero under crisis conditions</w:t>
            </w:r>
          </w:p>
        </w:tc>
      </w:tr>
    </w:tbl>
    <w:p w14:paraId="242F0AB1" w14:textId="77777777" w:rsidR="00BA62E2" w:rsidRDefault="00BA62E2">
      <w:pPr>
        <w:spacing w:after="1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BA62E2" w14:paraId="69195A72" w14:textId="77777777">
        <w:tc>
          <w:tcPr>
            <w:tcW w:w="0" w:type="auto"/>
            <w:tcBorders>
              <w:top w:val="thick" w:sz="8" w:space="0" w:color="2D6A4F"/>
              <w:left w:val="thick" w:sz="8" w:space="0" w:color="2D6A4F"/>
              <w:bottom w:val="thick" w:sz="8" w:space="0" w:color="2D6A4F"/>
              <w:right w:val="thick" w:sz="8" w:space="0" w:color="2D6A4F"/>
            </w:tcBorders>
            <w:shd w:val="clear" w:color="auto" w:fill="D8F3D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B9FC85" w14:textId="77777777" w:rsidR="00BA62E2" w:rsidRDefault="00F3524A">
            <w:r>
              <w:rPr>
                <w:color w:val="1A1A1A"/>
              </w:rPr>
              <w:t>When the downside of being wrong is small, and the downside of not having an alternative ready is potentially catastrophic, the rational choice is to build the option — even at modest scale, even with uncertain odds of ever needing it.</w:t>
            </w:r>
          </w:p>
        </w:tc>
      </w:tr>
    </w:tbl>
    <w:p w14:paraId="0CAFC958" w14:textId="77777777" w:rsidR="00BA62E2" w:rsidRDefault="00BA62E2">
      <w:pPr>
        <w:spacing w:after="140"/>
      </w:pPr>
    </w:p>
    <w:p w14:paraId="4ECBE718" w14:textId="77777777" w:rsidR="00BA62E2" w:rsidRDefault="00F3524A">
      <w:pPr>
        <w:pStyle w:val="Heading1"/>
        <w:spacing w:before="280" w:after="140"/>
      </w:pPr>
      <w:r>
        <w:rPr>
          <w:b/>
          <w:bCs/>
          <w:color w:val="2D6A4F"/>
          <w:sz w:val="30"/>
          <w:szCs w:val="30"/>
        </w:rPr>
        <w:t>What This Means in Practice</w:t>
      </w:r>
    </w:p>
    <w:p w14:paraId="7F6D7169" w14:textId="77777777" w:rsidR="00BA62E2" w:rsidRDefault="00F3524A">
      <w:pPr>
        <w:spacing w:before="60" w:after="120"/>
        <w:jc w:val="both"/>
      </w:pPr>
      <w:r>
        <w:rPr>
          <w:color w:val="1A1A1A"/>
        </w:rPr>
        <w:t>Gaia does not require global adoption to justify its existence today. It requires:</w:t>
      </w:r>
    </w:p>
    <w:p w14:paraId="24A4C65A" w14:textId="77777777" w:rsidR="00BA62E2" w:rsidRDefault="00F3524A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</w:rPr>
        <w:t>A small number of pioneer participants — individuals, businesses, or nations — willing to operate it in parallel with conventional currency.</w:t>
      </w:r>
    </w:p>
    <w:p w14:paraId="605A3240" w14:textId="77777777" w:rsidR="00BA62E2" w:rsidRDefault="00F3524A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</w:rPr>
        <w:t>Continuous GPHI measurement infrastructure, refined and improved over time.</w:t>
      </w:r>
    </w:p>
    <w:p w14:paraId="7F46ACFE" w14:textId="77777777" w:rsidR="00BA62E2" w:rsidRDefault="00F3524A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</w:rPr>
        <w:t>A track record — real transactions, real restoration, real verification — that proves the mechanism works before it is ever needed at scale.</w:t>
      </w:r>
    </w:p>
    <w:p w14:paraId="5567941E" w14:textId="77777777" w:rsidR="00BA62E2" w:rsidRDefault="00F3524A">
      <w:pPr>
        <w:spacing w:before="60" w:after="120"/>
        <w:jc w:val="both"/>
      </w:pPr>
      <w:r>
        <w:rPr>
          <w:color w:val="1A1A1A"/>
        </w:rPr>
        <w:lastRenderedPageBreak/>
        <w:t>This is precisely how Bitcoin, the internet, and most resilient infrastructure began: built quietly at small scale, refined under low stakes, ready if and when the moment for wider use arrived.</w:t>
      </w:r>
    </w:p>
    <w:p w14:paraId="01AA28E1" w14:textId="77777777" w:rsidR="00BA62E2" w:rsidRDefault="00BA62E2">
      <w:pPr>
        <w:spacing w:after="140"/>
      </w:pPr>
    </w:p>
    <w:p w14:paraId="77EEFB61" w14:textId="77777777" w:rsidR="00BA62E2" w:rsidRDefault="00F3524A">
      <w:pPr>
        <w:pStyle w:val="Heading1"/>
        <w:spacing w:before="280" w:after="140"/>
      </w:pPr>
      <w:r>
        <w:rPr>
          <w:b/>
          <w:bCs/>
          <w:color w:val="2D6A4F"/>
          <w:sz w:val="30"/>
          <w:szCs w:val="30"/>
        </w:rPr>
        <w:t>The Lower Bar This Creates</w:t>
      </w:r>
    </w:p>
    <w:p w14:paraId="262EA88F" w14:textId="77777777" w:rsidR="00BA62E2" w:rsidRDefault="00F3524A">
      <w:pPr>
        <w:spacing w:before="60" w:after="120"/>
        <w:jc w:val="both"/>
      </w:pPr>
      <w:r>
        <w:rPr>
          <w:color w:val="1A1A1A"/>
        </w:rPr>
        <w:t>This reframing changes what Gaia is asking of a cautious institution, government, or individual. Not: “bet your currency, your capital, or your credibility on Gaia succeeding.” Instead: “dedicate a small, bounded allocation of resources or attention to a well-designed contingency — in case the existing system fails faster than expected.”</w:t>
      </w:r>
    </w:p>
    <w:p w14:paraId="67053FC0" w14:textId="77777777" w:rsidR="00BA62E2" w:rsidRDefault="00F3524A">
      <w:pPr>
        <w:pBdr>
          <w:left w:val="thick" w:sz="12" w:space="10" w:color="52B788"/>
        </w:pBdr>
        <w:spacing w:before="160" w:after="160"/>
        <w:ind w:left="600" w:right="600"/>
      </w:pPr>
      <w:r>
        <w:rPr>
          <w:i/>
          <w:iCs/>
          <w:color w:val="444444"/>
        </w:rPr>
        <w:t>A risk manager, a central banker, or a sovereign wealth fund director does not need to be convinced Gaia will win. They need to be convinced it is irrational not to have it ready.</w:t>
      </w:r>
    </w:p>
    <w:p w14:paraId="4F6BA5BB" w14:textId="77777777" w:rsidR="00BA62E2" w:rsidRDefault="00BA62E2">
      <w:pPr>
        <w:spacing w:after="140"/>
      </w:pPr>
    </w:p>
    <w:p w14:paraId="6FC1CFDF" w14:textId="77777777" w:rsidR="00BA62E2" w:rsidRDefault="00BA62E2">
      <w:pPr>
        <w:pBdr>
          <w:bottom w:val="single" w:sz="6" w:space="1" w:color="52B788"/>
        </w:pBdr>
        <w:spacing w:before="160" w:after="80"/>
      </w:pPr>
    </w:p>
    <w:p w14:paraId="79508F26" w14:textId="77777777" w:rsidR="00BA62E2" w:rsidRDefault="00F3524A">
      <w:pPr>
        <w:spacing w:before="60" w:after="120"/>
        <w:jc w:val="center"/>
      </w:pPr>
      <w:r>
        <w:rPr>
          <w:color w:val="888888"/>
          <w:sz w:val="17"/>
          <w:szCs w:val="17"/>
        </w:rPr>
        <w:t>Gaia — A Nature-Backed Monetary System  |  gaia-economy.org  |  hello@gaia-economy.org</w:t>
      </w:r>
    </w:p>
    <w:sectPr w:rsidR="00BA62E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900" w:right="11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B99A6" w14:textId="77777777" w:rsidR="007D4FCA" w:rsidRDefault="007D4FCA">
      <w:r>
        <w:separator/>
      </w:r>
    </w:p>
  </w:endnote>
  <w:endnote w:type="continuationSeparator" w:id="0">
    <w:p w14:paraId="2429737E" w14:textId="77777777" w:rsidR="007D4FCA" w:rsidRDefault="007D4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172D9" w14:textId="77777777" w:rsidR="001A1A7B" w:rsidRDefault="001A1A7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F2A18" w14:textId="77777777" w:rsidR="001A1A7B" w:rsidRDefault="001A1A7B">
    <w:pPr>
      <w:jc w:val="center"/>
      <w:rPr>
        <w:color w:val="888888"/>
        <w:sz w:val="15"/>
        <w:szCs w:val="15"/>
      </w:rPr>
    </w:pPr>
    <w:r w:rsidRPr="001A1A7B">
      <w:rPr>
        <w:color w:val="888888"/>
        <w:sz w:val="15"/>
        <w:szCs w:val="15"/>
      </w:rPr>
      <w:t>Gaia is published under CC BY-SA 4.0. You may share and adapt this work, even commercially, provided you credit "Gaia / gaia-economy.org" and license derivatives under the same terms. Full license: gaia-economy.org/LICENSE.txt</w:t>
    </w:r>
  </w:p>
  <w:p w14:paraId="2D394013" w14:textId="77777777" w:rsidR="001A1A7B" w:rsidRDefault="001A1A7B">
    <w:pPr>
      <w:jc w:val="center"/>
      <w:rPr>
        <w:color w:val="888888"/>
        <w:sz w:val="15"/>
        <w:szCs w:val="15"/>
      </w:rPr>
    </w:pPr>
  </w:p>
  <w:p w14:paraId="35FAADB5" w14:textId="5A8EA412" w:rsidR="00BA62E2" w:rsidRDefault="00F3524A">
    <w:pPr>
      <w:jc w:val="center"/>
    </w:pPr>
    <w:r>
      <w:rPr>
        <w:color w:val="888888"/>
        <w:sz w:val="15"/>
        <w:szCs w:val="15"/>
      </w:rPr>
      <w:t>Gaia — The Insurance Argument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6D581" w14:textId="77777777" w:rsidR="001A1A7B" w:rsidRDefault="001A1A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CED59" w14:textId="77777777" w:rsidR="007D4FCA" w:rsidRDefault="007D4FCA">
      <w:r>
        <w:separator/>
      </w:r>
    </w:p>
  </w:footnote>
  <w:footnote w:type="continuationSeparator" w:id="0">
    <w:p w14:paraId="6BF9619C" w14:textId="77777777" w:rsidR="007D4FCA" w:rsidRDefault="007D4F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3D0AC" w14:textId="77777777" w:rsidR="001A1A7B" w:rsidRDefault="001A1A7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CD634" w14:textId="77777777" w:rsidR="001A1A7B" w:rsidRDefault="001A1A7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7F57F" w14:textId="77777777" w:rsidR="001A1A7B" w:rsidRDefault="001A1A7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B94217"/>
    <w:multiLevelType w:val="hybridMultilevel"/>
    <w:tmpl w:val="4D180D62"/>
    <w:lvl w:ilvl="0" w:tplc="B4D253D4">
      <w:start w:val="1"/>
      <w:numFmt w:val="bullet"/>
      <w:lvlText w:val="●"/>
      <w:lvlJc w:val="left"/>
      <w:pPr>
        <w:ind w:left="720" w:hanging="360"/>
      </w:pPr>
    </w:lvl>
    <w:lvl w:ilvl="1" w:tplc="466868A8">
      <w:start w:val="1"/>
      <w:numFmt w:val="bullet"/>
      <w:lvlText w:val="○"/>
      <w:lvlJc w:val="left"/>
      <w:pPr>
        <w:ind w:left="1440" w:hanging="360"/>
      </w:pPr>
    </w:lvl>
    <w:lvl w:ilvl="2" w:tplc="5FDE1BDE">
      <w:start w:val="1"/>
      <w:numFmt w:val="bullet"/>
      <w:lvlText w:val="■"/>
      <w:lvlJc w:val="left"/>
      <w:pPr>
        <w:ind w:left="2160" w:hanging="360"/>
      </w:pPr>
    </w:lvl>
    <w:lvl w:ilvl="3" w:tplc="7728C646">
      <w:start w:val="1"/>
      <w:numFmt w:val="bullet"/>
      <w:lvlText w:val="●"/>
      <w:lvlJc w:val="left"/>
      <w:pPr>
        <w:ind w:left="2880" w:hanging="360"/>
      </w:pPr>
    </w:lvl>
    <w:lvl w:ilvl="4" w:tplc="F262433C">
      <w:start w:val="1"/>
      <w:numFmt w:val="bullet"/>
      <w:lvlText w:val="○"/>
      <w:lvlJc w:val="left"/>
      <w:pPr>
        <w:ind w:left="3600" w:hanging="360"/>
      </w:pPr>
    </w:lvl>
    <w:lvl w:ilvl="5" w:tplc="A2F044F0">
      <w:start w:val="1"/>
      <w:numFmt w:val="bullet"/>
      <w:lvlText w:val="■"/>
      <w:lvlJc w:val="left"/>
      <w:pPr>
        <w:ind w:left="4320" w:hanging="360"/>
      </w:pPr>
    </w:lvl>
    <w:lvl w:ilvl="6" w:tplc="0E6EF968">
      <w:start w:val="1"/>
      <w:numFmt w:val="bullet"/>
      <w:lvlText w:val="●"/>
      <w:lvlJc w:val="left"/>
      <w:pPr>
        <w:ind w:left="5040" w:hanging="360"/>
      </w:pPr>
    </w:lvl>
    <w:lvl w:ilvl="7" w:tplc="C3701BF2">
      <w:start w:val="1"/>
      <w:numFmt w:val="bullet"/>
      <w:lvlText w:val="●"/>
      <w:lvlJc w:val="left"/>
      <w:pPr>
        <w:ind w:left="5760" w:hanging="360"/>
      </w:pPr>
    </w:lvl>
    <w:lvl w:ilvl="8" w:tplc="7CF67FD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E1299F"/>
    <w:multiLevelType w:val="hybridMultilevel"/>
    <w:tmpl w:val="D2905818"/>
    <w:lvl w:ilvl="0" w:tplc="1EAAC310">
      <w:start w:val="1"/>
      <w:numFmt w:val="bullet"/>
      <w:lvlText w:val="•"/>
      <w:lvlJc w:val="left"/>
      <w:pPr>
        <w:ind w:left="560" w:hanging="280"/>
      </w:pPr>
    </w:lvl>
    <w:lvl w:ilvl="1" w:tplc="DCBE17A8">
      <w:numFmt w:val="decimal"/>
      <w:lvlText w:val=""/>
      <w:lvlJc w:val="left"/>
    </w:lvl>
    <w:lvl w:ilvl="2" w:tplc="C61A4856">
      <w:numFmt w:val="decimal"/>
      <w:lvlText w:val=""/>
      <w:lvlJc w:val="left"/>
    </w:lvl>
    <w:lvl w:ilvl="3" w:tplc="89144AE6">
      <w:numFmt w:val="decimal"/>
      <w:lvlText w:val=""/>
      <w:lvlJc w:val="left"/>
    </w:lvl>
    <w:lvl w:ilvl="4" w:tplc="C64AAA26">
      <w:numFmt w:val="decimal"/>
      <w:lvlText w:val=""/>
      <w:lvlJc w:val="left"/>
    </w:lvl>
    <w:lvl w:ilvl="5" w:tplc="F4D88E14">
      <w:numFmt w:val="decimal"/>
      <w:lvlText w:val=""/>
      <w:lvlJc w:val="left"/>
    </w:lvl>
    <w:lvl w:ilvl="6" w:tplc="3A02A688">
      <w:numFmt w:val="decimal"/>
      <w:lvlText w:val=""/>
      <w:lvlJc w:val="left"/>
    </w:lvl>
    <w:lvl w:ilvl="7" w:tplc="18D2B16C">
      <w:numFmt w:val="decimal"/>
      <w:lvlText w:val=""/>
      <w:lvlJc w:val="left"/>
    </w:lvl>
    <w:lvl w:ilvl="8" w:tplc="18F6DC5C">
      <w:numFmt w:val="decimal"/>
      <w:lvlText w:val=""/>
      <w:lvlJc w:val="left"/>
    </w:lvl>
  </w:abstractNum>
  <w:num w:numId="1" w16cid:durableId="189732243">
    <w:abstractNumId w:val="0"/>
    <w:lvlOverride w:ilvl="0">
      <w:startOverride w:val="1"/>
    </w:lvlOverride>
  </w:num>
  <w:num w:numId="2" w16cid:durableId="186922352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62E2"/>
    <w:rsid w:val="001A1A7B"/>
    <w:rsid w:val="004E2956"/>
    <w:rsid w:val="006B60D7"/>
    <w:rsid w:val="007D4FCA"/>
    <w:rsid w:val="00B630E6"/>
    <w:rsid w:val="00BA62E2"/>
    <w:rsid w:val="00F35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C2F7AF"/>
  <w15:docId w15:val="{4C8C8CC2-4935-4624-AC82-B19743484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1A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1A7B"/>
  </w:style>
  <w:style w:type="paragraph" w:styleId="Footer">
    <w:name w:val="footer"/>
    <w:basedOn w:val="Normal"/>
    <w:link w:val="FooterChar"/>
    <w:uiPriority w:val="99"/>
    <w:unhideWhenUsed/>
    <w:rsid w:val="001A1A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1A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447</Words>
  <Characters>2551</Characters>
  <Application>Microsoft Office Word</Application>
  <DocSecurity>0</DocSecurity>
  <Lines>21</Lines>
  <Paragraphs>5</Paragraphs>
  <ScaleCrop>false</ScaleCrop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 Toluzzi</cp:lastModifiedBy>
  <cp:revision>3</cp:revision>
  <dcterms:created xsi:type="dcterms:W3CDTF">2026-06-30T08:42:00Z</dcterms:created>
  <dcterms:modified xsi:type="dcterms:W3CDTF">2026-06-30T11:42:00Z</dcterms:modified>
</cp:coreProperties>
</file>