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23"/>
        <w:gridCol w:w="1915"/>
        <w:gridCol w:w="1915"/>
        <w:gridCol w:w="1793"/>
        <w:gridCol w:w="1841"/>
        <w:gridCol w:w="1793"/>
        <w:gridCol w:w="1609"/>
        <w:gridCol w:w="1181"/>
      </w:tblGrid>
      <w:tr>
        <w:trPr>
          <w:trHeight w:val="763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52,893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Heterosexual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39,050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8,075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Homosexual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3,334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Self-define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1,744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Asexual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690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Biological 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42,093 (79.6%)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31,046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7,296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1,606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1,532 (87.8%)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613 (88.8%)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10,800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8,004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779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1,728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212 (12.2%)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40,711 (77.0%)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30,931 (79.2%)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6,763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1,397 (41.9%)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1,132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488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10,506 (19.9%)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7,958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1,666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Non-binary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363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Self-define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Trans woman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48,783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36,088 (94.3%)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7,385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3,113 (94.1%)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1,564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633 (92.7%)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3,183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586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Highest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None of the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1,061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GCSEs/CSEs/O-levels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6,503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4,776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976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422 (12.9%)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239 (13.9%)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NVQ/HND/HNC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4,468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3,678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417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228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A-levels/AS-levels or equivalent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11,613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7,631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812 (24.8%)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521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207 (30.4%)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27,469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20,657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3,931 (49.5%)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1,748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810 (47.2%)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Major depressive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49,484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36,255 (92.8%)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7,720 (95.6%)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3,167 (95.0%)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1,684 (96.6%)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658 (95.4%)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Generalised anxiety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44,297 (83.7%)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32,252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7,067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2,835 (85.0%)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1,551 (88.9%)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 (85.8%)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11,853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7,919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2,296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874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567 (35.5%)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 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2,465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Agoraphobia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1,992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1,477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Panic attacks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18,727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13,170 (37.3%)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3,398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1,165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752 (47.1%)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242 (38.5%)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Bipolar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3,375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2,304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644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241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Obsessive-compulsive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3,706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2,557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639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281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 (10.3%)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(10.4%)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Body dysmorphic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1,594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933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1,970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406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116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Atypical anorexia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Bulimia nervosa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1,761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1,156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418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Binge-eating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2,495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1,625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542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Suicidality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23,023 (45.3%)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15,175 (40.5%)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4,689 (60.1%)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1,689 (52.4%)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1,057 (62.2%)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413 (61.5%)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Pearson's Chi-squared test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2026-03-11T20:39:56Z</dcterms:modified>
  <cp:category/>
</cp:coreProperties>
</file>