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23"/>
        <w:gridCol w:w="2025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53,805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[years]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(15)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 (26, 50)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16 - 117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Biological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42,852 (79.6%)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10,953 (20.4%)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41,438 (77.0%)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10,648 (19.8%)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954 (1.8%)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Trans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(0.6%)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338 (0.6%)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Trans 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 (0.2%)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49,507 (93.8%)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3,279 (6.2%)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1,019</w:t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Sexual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39,050 (73.8%)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8,075 (15.3%)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3,334 (6.3%)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1,744 (3.3%)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 (1.3%)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912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[m]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(0.09)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(1.62, 1.73)</w:t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1.20 - 2.29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1,652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[kg/m2]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(8)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(25, 35)</w:t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10 - 90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3,298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Highest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None of the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1,423 (2.7%)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GCSEs/CSEs/O-levels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6,656 (12.7%)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NVQ/HND/HNC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4,530 (8.7%)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A-levels/AS-levels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11,784 (22.6%)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27,850 (53.3%)</w:t>
            </w:r>
          </w:p>
        </w:tc>
      </w:tr>
      <w:tr>
        <w:trPr>
          <w:trHeight w:val="60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1,562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any_mdd_diagnosis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MDD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50,274 (93.4%)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MDD or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3,531 (6.6%)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any_gad_diagnosis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45,021 (83.7%)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GAD or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8,784 (16.3%)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Suicidality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23,440 (45.4%)</w:t>
            </w:r>
          </w:p>
        </w:tc>
      </w:tr>
      <w:tr>
        <w:trPr>
          <w:trHeight w:val="60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2,151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Major depressive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42,760 (87.6%)</w:t>
            </w:r>
          </w:p>
        </w:tc>
      </w:tr>
      <w:tr>
        <w:trPr>
          <w:trHeight w:val="60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Generalised anxiety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37,569 (77.0%)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Social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12,067 (24.7%)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Specific 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2,505 (5.1%)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Agoraphobia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2,025 (4.2%)</w:t>
            </w:r>
          </w:p>
        </w:tc>
      </w:tr>
      <w:tr>
        <w:trPr>
          <w:trHeight w:val="60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Panic attacks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19,015 (39.0%)</w:t>
            </w:r>
          </w:p>
        </w:tc>
      </w:tr>
      <w:tr>
        <w:trPr>
          <w:trHeight w:val="60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Bipolar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3,420 (7.0%)</w:t>
            </w:r>
          </w:p>
        </w:tc>
      </w:tr>
      <w:tr>
        <w:trPr>
          <w:trHeight w:val="60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Obsessive-compulsive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3,777 (7.7%)</w:t>
            </w:r>
          </w:p>
        </w:tc>
      </w:tr>
      <w:tr>
        <w:trPr>
          <w:trHeight w:val="60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Body dysmorphic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1,626 (3.3%)</w:t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 (4.1%)</w:t>
            </w:r>
          </w:p>
        </w:tc>
      </w:tr>
      <w:tr>
        <w:trPr>
          <w:trHeight w:val="60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Atypical 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545 (1.1%)</w:t>
            </w:r>
          </w:p>
        </w:tc>
      </w:tr>
      <w:tr>
        <w:trPr>
          <w:trHeight w:val="60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Bulimia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1,784 (3.7%)</w:t>
            </w:r>
          </w:p>
        </w:tc>
      </w:tr>
      <w:tr>
        <w:trPr>
          <w:trHeight w:val="60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Binge-eating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2,534 (5.2%)</w:t>
            </w:r>
          </w:p>
        </w:tc>
      </w:tr>
      <w:tr>
        <w:trPr>
          <w:trHeight w:val="600" w:hRule="auto"/>
        </w:trPr>
        body77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2025-11-19T15:06:20Z</dcterms:modified>
  <cp:category/>
</cp:coreProperties>
</file>