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23"/>
        <w:gridCol w:w="1915"/>
        <w:gridCol w:w="2037"/>
        <w:gridCol w:w="2037"/>
        <w:gridCol w:w="1694"/>
        <w:gridCol w:w="1732"/>
        <w:gridCol w:w="1658"/>
        <w:gridCol w:w="1951"/>
        <w:gridCol w:w="1181"/>
      </w:tblGrid>
      <w:tr>
        <w:trPr>
          <w:trHeight w:val="77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53,805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Cis woman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41,438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Cis man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10,648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Non-binary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954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Trans man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Self-define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Trans woman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90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Biological sex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42,852 (79.6%)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41,438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806 (84.5%)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337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271 (80.2%)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10,953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10,648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148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49,507 (93.8%)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38,187 (93.9%)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9,780 (93.9%)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858 (90.9%)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303 (92.1%)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293 (89.6%)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 (96.6%)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3,279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2,494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636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Sexual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Heterosexual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39,050 (73.8%)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30,931 (76.0%)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7,958 (75.7%)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8,075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6,763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696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 (39.1%)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 (43.6%)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(27.9%)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Homosexual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3,334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1,397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1,666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 (21.5%)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(12.4%)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Self-define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1,744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1,132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276 (29.7%)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 (36.6%)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(29.1%)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690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488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Highest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 of the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1,423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997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369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GCSEs/CSEs/O-levels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6,656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5,002 (12.4%)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1,374 (13.3%)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 (24.9%)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NVQ/HND/HNC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4,530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3,410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1,048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A-levels/AS-levels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11,784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9,099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2,107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316 (33.6%)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 (40.1%)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 (30.9%)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(32.2%)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27,850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21,726 (54.0%)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5,425 (52.6%)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426 (45.3%)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 (25.8%)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154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(39.1%)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Major depressive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50,274 (93.4%)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38,771 (93.6%)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9,858 (92.6%)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917 (96.1%)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320 (95.0%)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324 (95.9%)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 (93.3%)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Generalised anxiety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45,021 (83.7%)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35,001 (84.5%)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8,528 (80.1%)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834 (87.4%)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292 (86.6%)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291 (86.1%)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12,067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9,091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2,396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310 (36.4%)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 (42.3%)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 (36.0%)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(37.8%)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Specific 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2,505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2,143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259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Agoraphobia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1,650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299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Panic attacks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19,015 (39.0%)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15,597 (41.4%)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2,715 (28.3%)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406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150 (48.9%)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 (41.6%)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(25.6%)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Bipolar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3,420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2,516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767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Obsessive-compulsive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3,777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2,970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643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 (10.8%)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 (11.7%)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dysmorphic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1,626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1,369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2,012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1,882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Atypical 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545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491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Bulimia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1,784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1,678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Binge-eating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2,534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2,194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242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Suicidality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23,440 (45.4%)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17,426 (43.8%)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4,905 (48.2%)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608 (66.2%)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234 (72.9%)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208 (63.6%)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 (67.8%)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footer 2
        <w:tc>
          <w:tcPr>
            <w:gridSpan w:val="9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Pearson's Chi-squared test</w:t>
            </w:r>
          </w:p>
        </w:tc>
      </w:tr>
    </w:tbl>
    <w:sectPr>
      <w:pgMar w:header="708" w:bottom="1417" w:top="1417" w:right="1417" w:left="1417" w:footer="708" w:gutter="0"/>
      <w:pgSz w:h="11952" w:w="1684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2025-10-27T21:17:34Z</dcterms:modified>
  <cp:category/>
</cp:coreProperties>
</file>