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223"/>
        <w:gridCol w:w="2025"/>
        <w:gridCol w:w="2025"/>
      </w:tblGrid>
      <w:tr>
        <w:trPr>
          <w:trHeight w:val="61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Coping_nbr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GLAD</w:t>
            </w:r>
          </w:p>
        </w:tc>
      </w:tr>
      <w:tr>
        <w:trPr>
          <w:trHeight w:val="604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6,084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54,168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Age [years]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 (13)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 (15)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(51, 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 (26, 50)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17 - 100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16 - 98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Biological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2,992 (49.2%)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43,098 (79.6%)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3,092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11,070 (20.4%)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3,088 (50.8%)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10,765 (19.9%)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 woman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2,984 (49.0%)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41,682 (76.9%)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Non-binary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955 (1.8%)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Trans person or 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766 (1.4%)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5,821 (99.8%)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49,805 (93.7%)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3,342 (6.3%)</w:t>
            </w:r>
          </w:p>
        </w:tc>
      </w:tr>
      <w:tr>
        <w:trPr>
          <w:trHeight w:val="60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1,021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Height [m]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(0.10)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(0.09)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 (1.64,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(1.62, 1.73)</w:t>
            </w:r>
          </w:p>
        </w:tc>
      </w:tr>
      <w:tr>
        <w:trPr>
          <w:trHeight w:val="571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1.45 - 2.29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1.20 - 2.29</w:t>
            </w:r>
          </w:p>
        </w:tc>
      </w:tr>
      <w:tr>
        <w:trPr>
          <w:trHeight w:val="60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1,662</w:t>
            </w:r>
          </w:p>
        </w:tc>
      </w:tr>
      <w:tr>
        <w:trPr>
          <w:trHeight w:val="617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BMI [kg/m2]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 (5.2)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 (8)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Median (Q1, Q3)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28.3 (25.0, 31.7)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 (25, 35)</w:t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 - Max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9.9 - 59.2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10 - 90</w:t>
            </w:r>
          </w:p>
        </w:tc>
      </w:tr>
      <w:tr>
        <w:trPr>
          <w:trHeight w:val="60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3,322</w:t>
            </w:r>
          </w:p>
        </w:tc>
      </w:tr>
      <w:tr>
        <w:trPr>
          <w:trHeight w:val="614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Highest 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None of the above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1,431 (2.7%)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GCSEs/CSEs/O-levels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 (16.5%)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6,699 (12.7%)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NVQ/HND/HNC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654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4,556 (8.7%)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A-levels/AS-levels or equivalent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1,042 (17.6%)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11,828 (22.5%)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University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2,990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28,085 (53.4%)</w:t>
            </w:r>
          </w:p>
        </w:tc>
      </w:tr>
      <w:tr>
        <w:trPr>
          <w:trHeight w:val="60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1,569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Major depressive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50,274 (92.8%)</w:t>
            </w:r>
          </w:p>
        </w:tc>
      </w:tr>
      <w:tr>
        <w:trPr>
          <w:trHeight w:val="571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Generalised anxiety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45,021 (83.1%)</w:t>
            </w:r>
          </w:p>
        </w:tc>
      </w:tr>
      <w:tr>
        <w:trPr>
          <w:trHeight w:val="571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Social anxiety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12,067 (24.6%)</w:t>
            </w:r>
          </w:p>
        </w:tc>
      </w:tr>
      <w:tr>
        <w:trPr>
          <w:trHeight w:val="60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Specific 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2,505 (5.1%)</w:t>
            </w:r>
          </w:p>
        </w:tc>
      </w:tr>
      <w:tr>
        <w:trPr>
          <w:trHeight w:val="60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Agoraphobia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2,025 (4.1%)</w:t>
            </w:r>
          </w:p>
        </w:tc>
      </w:tr>
      <w:tr>
        <w:trPr>
          <w:trHeight w:val="60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Panic attacks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19,032 (38.7%)</w:t>
            </w:r>
          </w:p>
        </w:tc>
      </w:tr>
      <w:tr>
        <w:trPr>
          <w:trHeight w:val="60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Bipolar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3,420 (7.0%)</w:t>
            </w:r>
          </w:p>
        </w:tc>
      </w:tr>
      <w:tr>
        <w:trPr>
          <w:trHeight w:val="60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Obsessive-compulsive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3,786 (7.7%)</w:t>
            </w:r>
          </w:p>
        </w:tc>
      </w:tr>
      <w:tr>
        <w:trPr>
          <w:trHeight w:val="60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Body dysmorphic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1,628 (3.3%)</w:t>
            </w:r>
          </w:p>
        </w:tc>
      </w:tr>
      <w:tr>
        <w:trPr>
          <w:trHeight w:val="60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2,015 (4.1%)</w:t>
            </w:r>
          </w:p>
        </w:tc>
      </w:tr>
      <w:tr>
        <w:trPr>
          <w:trHeight w:val="60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61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Bulimia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1,786 (3.6%)</w:t>
            </w:r>
          </w:p>
        </w:tc>
      </w:tr>
      <w:tr>
        <w:trPr>
          <w:trHeight w:val="60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61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Binge-eating disorder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2,537 (5.2%)</w:t>
            </w:r>
          </w:p>
        </w:tc>
      </w:tr>
      <w:tr>
        <w:trPr>
          <w:trHeight w:val="60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617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Schizophrenia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201 (0.4%)</w:t>
            </w:r>
          </w:p>
        </w:tc>
      </w:tr>
      <w:tr>
        <w:trPr>
          <w:trHeight w:val="60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61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PTSD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7,414 (15.1%)</w:t>
            </w:r>
          </w:p>
        </w:tc>
      </w:tr>
      <w:tr>
        <w:trPr>
          <w:trHeight w:val="60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ADD or ADHD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1,343 (2.7%)</w:t>
            </w:r>
          </w:p>
        </w:tc>
      </w:tr>
      <w:tr>
        <w:trPr>
          <w:trHeight w:val="60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57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Sexual orientation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Heterosexual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39,364 (73.9%)</w:t>
            </w:r>
          </w:p>
        </w:tc>
      </w:tr>
      <w:tr>
        <w:trPr>
          <w:trHeight w:val="61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8,095 (15.2%)</w:t>
            </w:r>
          </w:p>
        </w:tc>
      </w:tr>
      <w:tr>
        <w:trPr>
          <w:trHeight w:val="617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Homosexual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3,350 (6.3%)</w:t>
            </w:r>
          </w:p>
        </w:tc>
      </w:tr>
      <w:tr>
        <w:trPr>
          <w:trHeight w:val="61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Self-define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1,747 (3.3%)</w:t>
            </w:r>
          </w:p>
        </w:tc>
      </w:tr>
      <w:tr>
        <w:trPr>
          <w:trHeight w:val="61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Asexual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693 (1.3%)</w:t>
            </w:r>
          </w:p>
        </w:tc>
      </w:tr>
      <w:tr>
        <w:trPr>
          <w:trHeight w:val="571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</w:t>
            </w:r>
          </w:p>
        </w:tc>
      </w:tr>
      <w:tr>
        <w:trPr>
          <w:trHeight w:val="61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Suicidality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23,468 (45.1%)</w:t>
            </w:r>
          </w:p>
        </w:tc>
      </w:tr>
      <w:tr>
        <w:trPr>
          <w:trHeight w:val="60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2,168</w:t>
            </w:r>
          </w:p>
        </w:tc>
      </w:tr>
      <w:tr>
        <w:trPr>
          <w:trHeight w:val="571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mhd.mdd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MDD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6,389 (13.0%)</w:t>
            </w:r>
          </w:p>
        </w:tc>
      </w:tr>
      <w:tr>
        <w:trPr>
          <w:trHeight w:val="61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MDD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42,760 (87.0%)</w:t>
            </w:r>
          </w:p>
        </w:tc>
      </w:tr>
      <w:tr>
        <w:trPr>
          <w:trHeight w:val="60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4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mhd.gad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GAD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11,580 (23.6%)</w:t>
            </w:r>
          </w:p>
        </w:tc>
      </w:tr>
      <w:tr>
        <w:trPr>
          <w:trHeight w:val="617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37,569 (76.4%)</w:t>
            </w:r>
          </w:p>
        </w:tc>
      </w:tr>
      <w:tr>
        <w:trPr>
          <w:trHeight w:val="60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5,019</w:t>
            </w:r>
          </w:p>
        </w:tc>
      </w:tr>
      <w:tr>
        <w:trPr>
          <w:trHeight w:val="61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Atypical anorexia nervosa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546 (1.1%)</w:t>
            </w:r>
          </w:p>
        </w:tc>
      </w:tr>
      <w:tr>
        <w:trPr>
          <w:trHeight w:val="600" w:hRule="auto"/>
        </w:trPr>
        body82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answered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5,196</w:t>
            </w:r>
          </w:p>
        </w:tc>
      </w:tr>
      <w:tr>
        <w:trPr>
          <w:trHeight w:val="360" w:hRule="auto"/>
        </w:trPr>
        footer 1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2026-05-11T18:27:01Z</dcterms:modified>
  <cp:category/>
</cp:coreProperties>
</file>