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92"/>
        <w:gridCol w:w="1915"/>
        <w:gridCol w:w="2037"/>
        <w:gridCol w:w="2037"/>
        <w:gridCol w:w="1719"/>
        <w:gridCol w:w="1768"/>
        <w:gridCol w:w="2061"/>
        <w:gridCol w:w="1670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53,805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Frau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41,438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10,648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Nicht-Binär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Selbstdefiniert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Frau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10,648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42,852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49,507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38,187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9,780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Nicht-weiß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39,050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30,931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7,958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8,075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Selbstdefiniert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Höchster Bildungsabschluss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Keine der genannten Optionen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6,656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2,107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27,850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21,726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5,425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50,274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38,771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9,858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45,021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35,001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8,528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Soziale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Spezifische 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Panik Atacken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15,597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2,715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Zwangsstörung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Körpersysmorphe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Atypische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Suizidaliät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23,440 (45.4%)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17,426 (43.8%)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4,905 (48.2%)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(66.2%)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(72.9%)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2025-08-31T17:22:27Z</dcterms:modified>
  <cp:category/>
</cp:coreProperties>
</file>