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0C18" w14:textId="74932DB3" w:rsidR="00EC6942" w:rsidRPr="006470D4" w:rsidRDefault="009512C6" w:rsidP="00EC6942">
      <w:pPr>
        <w:pStyle w:val="a3"/>
        <w:spacing w:before="200" w:line="360" w:lineRule="auto"/>
        <w:rPr>
          <w:rFonts w:ascii="PMingLiU" w:eastAsia="PMingLiU" w:hAnsi="PMingLiU" w:hint="eastAsia"/>
          <w:b/>
          <w:bCs/>
          <w:lang w:eastAsia="zh-CN"/>
        </w:rPr>
      </w:pPr>
      <w:r w:rsidRPr="006470D4">
        <w:rPr>
          <w:rFonts w:ascii="PMingLiU" w:eastAsia="PMingLiU" w:hAnsi="PMingLiU"/>
          <w:b/>
          <w:bCs/>
          <w:lang w:eastAsia="zh-CN"/>
        </w:rPr>
        <w:t>Margin Requirements</w:t>
      </w:r>
    </w:p>
    <w:p w14:paraId="003E7EB4" w14:textId="054BBD9C" w:rsidR="00ED33FD" w:rsidRPr="006470D4" w:rsidRDefault="00ED33FD" w:rsidP="00ED33FD">
      <w:pPr>
        <w:pStyle w:val="a3"/>
        <w:spacing w:before="200" w:line="360" w:lineRule="auto"/>
        <w:rPr>
          <w:rFonts w:ascii="PMingLiU" w:eastAsia="PMingLiU" w:hAnsi="PMingLiU" w:cs="微软雅黑" w:hint="eastAsia"/>
          <w:lang w:eastAsia="zh-CN"/>
        </w:rPr>
      </w:pPr>
      <w:r w:rsidRPr="006470D4">
        <w:rPr>
          <w:rFonts w:ascii="PMingLiU" w:eastAsia="PMingLiU" w:hAnsi="PMingLiU" w:cs="微软雅黑"/>
          <w:lang w:eastAsia="zh-CN"/>
        </w:rPr>
        <w:t xml:space="preserve">The initial leverage ratio of the account can be adjusted to different levels pre-defined by IEXS Prosper </w:t>
      </w:r>
      <w:r w:rsidR="00A4044D" w:rsidRPr="006470D4">
        <w:rPr>
          <w:rFonts w:ascii="PMingLiU" w:eastAsia="PMingLiU" w:hAnsi="PMingLiU" w:cs="微软雅黑"/>
          <w:lang w:eastAsia="zh-CN"/>
        </w:rPr>
        <w:t>Securities</w:t>
      </w:r>
      <w:r w:rsidRPr="006470D4">
        <w:rPr>
          <w:rFonts w:ascii="PMingLiU" w:eastAsia="PMingLiU" w:hAnsi="PMingLiU" w:cs="微软雅黑"/>
          <w:lang w:eastAsia="zh-CN"/>
        </w:rPr>
        <w:t xml:space="preserve"> and the client (e.g. 1:50 or 1:20 etc.).</w:t>
      </w:r>
    </w:p>
    <w:p w14:paraId="48CA9449" w14:textId="7DC6D427" w:rsidR="00ED33FD" w:rsidRPr="006470D4" w:rsidRDefault="00ED33FD" w:rsidP="00ED33FD">
      <w:pPr>
        <w:pStyle w:val="a3"/>
        <w:spacing w:before="200" w:line="360" w:lineRule="auto"/>
        <w:rPr>
          <w:rFonts w:ascii="PMingLiU" w:eastAsia="PMingLiU" w:hAnsi="PMingLiU" w:cs="微软雅黑" w:hint="eastAsia"/>
          <w:lang w:eastAsia="zh-CN"/>
        </w:rPr>
      </w:pPr>
      <w:r w:rsidRPr="006470D4">
        <w:rPr>
          <w:rFonts w:ascii="PMingLiU" w:eastAsia="PMingLiU" w:hAnsi="PMingLiU" w:cs="微软雅黑"/>
          <w:lang w:eastAsia="zh-CN"/>
        </w:rPr>
        <w:t>Due to specific trading conditions, certain products may have higher</w:t>
      </w:r>
      <w:r w:rsidR="00706F58">
        <w:rPr>
          <w:rFonts w:ascii="PMingLiU" w:eastAsiaTheme="minorEastAsia" w:hAnsi="PMingLiU" w:cs="微软雅黑" w:hint="eastAsia"/>
          <w:lang w:eastAsia="zh-CN"/>
        </w:rPr>
        <w:t xml:space="preserve"> </w:t>
      </w:r>
      <w:r w:rsidRPr="006470D4">
        <w:rPr>
          <w:rFonts w:ascii="PMingLiU" w:eastAsia="PMingLiU" w:hAnsi="PMingLiU" w:cs="微软雅黑"/>
          <w:lang w:eastAsia="zh-CN"/>
        </w:rPr>
        <w:t>margin requirements.</w:t>
      </w:r>
    </w:p>
    <w:p w14:paraId="4B2E287F" w14:textId="62FF40C2" w:rsidR="00C07EF6" w:rsidRPr="006470D4" w:rsidRDefault="00431566" w:rsidP="00ED33FD">
      <w:pPr>
        <w:pStyle w:val="a3"/>
        <w:spacing w:before="200" w:line="360" w:lineRule="auto"/>
        <w:rPr>
          <w:rFonts w:ascii="PMingLiU" w:eastAsia="PMingLiU" w:hAnsi="PMingLiU" w:hint="eastAsia"/>
          <w:lang w:eastAsia="zh-CN"/>
        </w:rPr>
      </w:pPr>
      <w:r w:rsidRPr="006470D4">
        <w:rPr>
          <w:rFonts w:ascii="PMingLiU" w:eastAsia="PMingLiU" w:hAnsi="PMingLiU"/>
          <w:noProof/>
        </w:rPr>
        <w:drawing>
          <wp:anchor distT="0" distB="0" distL="0" distR="0" simplePos="0" relativeHeight="251653632" behindDoc="1" locked="0" layoutInCell="1" allowOverlap="1" wp14:anchorId="7CD6300D" wp14:editId="7B4B479A">
            <wp:simplePos x="0" y="0"/>
            <wp:positionH relativeFrom="page">
              <wp:posOffset>1680618</wp:posOffset>
            </wp:positionH>
            <wp:positionV relativeFrom="paragraph">
              <wp:posOffset>512360</wp:posOffset>
            </wp:positionV>
            <wp:extent cx="4198127" cy="419812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198127" cy="4198127"/>
                    </a:xfrm>
                    <a:prstGeom prst="rect">
                      <a:avLst/>
                    </a:prstGeom>
                  </pic:spPr>
                </pic:pic>
              </a:graphicData>
            </a:graphic>
          </wp:anchor>
        </w:drawing>
      </w:r>
    </w:p>
    <w:p w14:paraId="44D46AA6" w14:textId="184D84B1" w:rsidR="00C07EF6" w:rsidRPr="006470D4" w:rsidRDefault="00ED33FD" w:rsidP="00C07EF6">
      <w:pPr>
        <w:pStyle w:val="a3"/>
        <w:spacing w:before="200" w:line="360" w:lineRule="auto"/>
        <w:rPr>
          <w:rFonts w:ascii="PMingLiU" w:eastAsia="PMingLiU" w:hAnsi="PMingLiU" w:hint="eastAsia"/>
          <w:b/>
          <w:bCs/>
          <w:lang w:eastAsia="zh-CN"/>
        </w:rPr>
      </w:pPr>
      <w:r w:rsidRPr="006470D4">
        <w:rPr>
          <w:rFonts w:ascii="PMingLiU" w:eastAsia="PMingLiU" w:hAnsi="PMingLiU"/>
          <w:b/>
          <w:bCs/>
          <w:lang w:eastAsia="zh-CN"/>
        </w:rPr>
        <w:t>Leverage Adjustment Explanation</w:t>
      </w:r>
    </w:p>
    <w:p w14:paraId="6838F1EB" w14:textId="5E4AB19E" w:rsidR="002567DB" w:rsidRPr="006470D4" w:rsidRDefault="001A5859" w:rsidP="00965032">
      <w:pPr>
        <w:pStyle w:val="a3"/>
        <w:spacing w:before="200" w:line="360" w:lineRule="auto"/>
        <w:rPr>
          <w:rFonts w:ascii="PMingLiU" w:eastAsia="PMingLiU" w:hAnsi="PMingLiU" w:hint="eastAsia"/>
          <w:lang w:eastAsia="zh-CN"/>
        </w:rPr>
      </w:pPr>
      <w:r w:rsidRPr="006470D4">
        <w:rPr>
          <w:rFonts w:ascii="PMingLiU" w:eastAsia="PMingLiU" w:hAnsi="PMingLiU"/>
          <w:lang w:eastAsia="zh-CN"/>
        </w:rPr>
        <w:t>Automatic Leverage Adjustment Notice according to IEXS Risk Control Requirements: Your leverage will be automatically decreased under the following circumstances. When the equity of your individual trading</w:t>
      </w:r>
      <w:r w:rsidR="00AF2435">
        <w:rPr>
          <w:rFonts w:ascii="PMingLiU" w:eastAsiaTheme="minorEastAsia" w:hAnsi="PMingLiU" w:hint="eastAsia"/>
          <w:lang w:eastAsia="zh-CN"/>
        </w:rPr>
        <w:t xml:space="preserve"> </w:t>
      </w:r>
      <w:r w:rsidRPr="006470D4">
        <w:rPr>
          <w:rFonts w:ascii="PMingLiU" w:eastAsia="PMingLiU" w:hAnsi="PMingLiU"/>
          <w:lang w:eastAsia="zh-CN"/>
        </w:rPr>
        <w:t>account reaches or exceeds the specified equity range</w:t>
      </w:r>
      <w:r w:rsidRPr="006470D4">
        <w:rPr>
          <w:rFonts w:ascii="PMingLiU" w:eastAsia="PMingLiU" w:hAnsi="PMingLiU" w:hint="eastAsia"/>
          <w:lang w:eastAsia="zh-CN"/>
        </w:rPr>
        <w:t>，</w:t>
      </w:r>
      <w:r w:rsidRPr="006470D4">
        <w:rPr>
          <w:rFonts w:ascii="PMingLiU" w:eastAsia="PMingLiU" w:hAnsi="PMingLiU"/>
          <w:lang w:eastAsia="zh-CN"/>
        </w:rPr>
        <w:t xml:space="preserve">IEXS reserves the right to </w:t>
      </w:r>
      <w:r w:rsidR="00812F93">
        <w:rPr>
          <w:rFonts w:ascii="PMingLiU" w:eastAsia="PMingLiU" w:hAnsi="PMingLiU"/>
          <w:lang w:eastAsia="zh-CN"/>
        </w:rPr>
        <w:t>automatically</w:t>
      </w:r>
      <w:r w:rsidR="00812F93">
        <w:rPr>
          <w:rFonts w:ascii="PMingLiU" w:eastAsiaTheme="minorEastAsia" w:hAnsi="PMingLiU" w:hint="eastAsia"/>
          <w:lang w:eastAsia="zh-CN"/>
        </w:rPr>
        <w:t xml:space="preserve"> </w:t>
      </w:r>
      <w:r w:rsidRPr="006470D4">
        <w:rPr>
          <w:rFonts w:ascii="PMingLiU" w:eastAsia="PMingLiU" w:hAnsi="PMingLiU"/>
          <w:lang w:eastAsia="zh-CN"/>
        </w:rPr>
        <w:t xml:space="preserve">adjust the leverage of the trading account. Capital transfers or account profits will both </w:t>
      </w:r>
      <w:proofErr w:type="gramStart"/>
      <w:r w:rsidRPr="006470D4">
        <w:rPr>
          <w:rFonts w:ascii="PMingLiU" w:eastAsia="PMingLiU" w:hAnsi="PMingLiU"/>
          <w:lang w:eastAsia="zh-CN"/>
        </w:rPr>
        <w:t>impact</w:t>
      </w:r>
      <w:proofErr w:type="gramEnd"/>
      <w:r w:rsidR="00511B4B">
        <w:rPr>
          <w:rFonts w:ascii="PMingLiU" w:eastAsiaTheme="minorEastAsia" w:hAnsi="PMingLiU" w:hint="eastAsia"/>
          <w:lang w:eastAsia="zh-CN"/>
        </w:rPr>
        <w:t xml:space="preserve"> </w:t>
      </w:r>
      <w:r w:rsidRPr="006470D4">
        <w:rPr>
          <w:rFonts w:ascii="PMingLiU" w:eastAsia="PMingLiU" w:hAnsi="PMingLiU"/>
          <w:lang w:eastAsia="zh-CN"/>
        </w:rPr>
        <w:t>the account</w:t>
      </w:r>
      <w:r w:rsidR="0066777B" w:rsidRPr="0066777B">
        <w:rPr>
          <w:rFonts w:ascii="PMingLiU" w:eastAsia="PMingLiU" w:hAnsi="PMingLiU"/>
          <w:lang w:eastAsia="zh-CN"/>
        </w:rPr>
        <w:t>’</w:t>
      </w:r>
      <w:r w:rsidRPr="006470D4">
        <w:rPr>
          <w:rFonts w:ascii="PMingLiU" w:eastAsia="PMingLiU" w:hAnsi="PMingLiU"/>
          <w:lang w:eastAsia="zh-CN"/>
        </w:rPr>
        <w:t>s equity.</w:t>
      </w:r>
    </w:p>
    <w:p w14:paraId="1549430D" w14:textId="68AB91CF" w:rsidR="00C07EF6" w:rsidRPr="006470D4" w:rsidRDefault="00C61D7E" w:rsidP="00965032">
      <w:pPr>
        <w:pStyle w:val="a3"/>
        <w:spacing w:before="200" w:line="360" w:lineRule="auto"/>
        <w:rPr>
          <w:rFonts w:ascii="PMingLiU" w:eastAsia="PMingLiU" w:hAnsi="PMingLiU" w:hint="eastAsia"/>
          <w:lang w:eastAsia="zh-CN"/>
        </w:rPr>
      </w:pPr>
      <w:r w:rsidRPr="006470D4">
        <w:rPr>
          <w:rFonts w:ascii="PMingLiU" w:eastAsia="PMingLiU" w:hAnsi="PMingLiU"/>
          <w:lang w:eastAsia="zh-CN"/>
        </w:rPr>
        <w:t>Take a standar</w:t>
      </w:r>
      <w:r w:rsidR="00950C86">
        <w:rPr>
          <w:rFonts w:ascii="PMingLiU" w:eastAsia="PMingLiU" w:hAnsi="PMingLiU"/>
          <w:lang w:eastAsia="zh-CN"/>
        </w:rPr>
        <w:t>d</w:t>
      </w:r>
      <w:r w:rsidR="00950C86">
        <w:rPr>
          <w:rFonts w:ascii="PMingLiU" w:eastAsiaTheme="minorEastAsia" w:hAnsi="PMingLiU" w:hint="eastAsia"/>
          <w:lang w:eastAsia="zh-CN"/>
        </w:rPr>
        <w:t xml:space="preserve"> a</w:t>
      </w:r>
      <w:r w:rsidRPr="006470D4">
        <w:rPr>
          <w:rFonts w:ascii="PMingLiU" w:eastAsia="PMingLiU" w:hAnsi="PMingLiU"/>
          <w:lang w:eastAsia="zh-CN"/>
        </w:rPr>
        <w:t>ccount A for example, account A initial equity of $10,000 and leverage of 1:800</w:t>
      </w:r>
      <w:r w:rsidRPr="006470D4">
        <w:rPr>
          <w:rFonts w:ascii="PMingLiU" w:eastAsia="PMingLiU" w:hAnsi="PMingLiU" w:hint="eastAsia"/>
          <w:lang w:eastAsia="zh-CN"/>
        </w:rPr>
        <w:t>，</w:t>
      </w:r>
      <w:r w:rsidRPr="006470D4">
        <w:rPr>
          <w:rFonts w:ascii="PMingLiU" w:eastAsia="PMingLiU" w:hAnsi="PMingLiU"/>
          <w:lang w:eastAsia="zh-CN"/>
        </w:rPr>
        <w:t xml:space="preserve">When </w:t>
      </w:r>
      <w:r w:rsidR="00120977">
        <w:rPr>
          <w:rFonts w:ascii="PMingLiU" w:eastAsiaTheme="minorEastAsia" w:hAnsi="PMingLiU" w:hint="eastAsia"/>
          <w:lang w:eastAsia="zh-CN"/>
        </w:rPr>
        <w:t>th</w:t>
      </w:r>
      <w:r w:rsidRPr="006470D4">
        <w:rPr>
          <w:rFonts w:ascii="PMingLiU" w:eastAsia="PMingLiU" w:hAnsi="PMingLiU"/>
          <w:lang w:eastAsia="zh-CN"/>
        </w:rPr>
        <w:t xml:space="preserve">e </w:t>
      </w:r>
      <w:r w:rsidR="00A46388" w:rsidRPr="006470D4">
        <w:rPr>
          <w:rFonts w:ascii="PMingLiU" w:eastAsia="PMingLiU" w:hAnsi="PMingLiU"/>
          <w:lang w:eastAsia="zh-CN"/>
        </w:rPr>
        <w:t>account</w:t>
      </w:r>
      <w:proofErr w:type="gramStart"/>
      <w:r w:rsidR="00A46388" w:rsidRPr="0066777B">
        <w:rPr>
          <w:rFonts w:ascii="PMingLiU" w:eastAsia="PMingLiU" w:hAnsi="PMingLiU"/>
          <w:lang w:eastAsia="zh-CN"/>
        </w:rPr>
        <w:t>’</w:t>
      </w:r>
      <w:proofErr w:type="gramEnd"/>
      <w:r w:rsidR="00A46388" w:rsidRPr="006470D4">
        <w:rPr>
          <w:rFonts w:ascii="PMingLiU" w:eastAsia="PMingLiU" w:hAnsi="PMingLiU"/>
          <w:lang w:eastAsia="zh-CN"/>
        </w:rPr>
        <w:t>s</w:t>
      </w:r>
      <w:r w:rsidR="00A46388">
        <w:rPr>
          <w:rFonts w:ascii="PMingLiU" w:eastAsiaTheme="minorEastAsia" w:hAnsi="PMingLiU" w:hint="eastAsia"/>
          <w:lang w:eastAsia="zh-CN"/>
        </w:rPr>
        <w:t xml:space="preserve"> </w:t>
      </w:r>
      <w:r w:rsidRPr="006470D4">
        <w:rPr>
          <w:rFonts w:ascii="PMingLiU" w:eastAsia="PMingLiU" w:hAnsi="PMingLiU"/>
          <w:lang w:eastAsia="zh-CN"/>
        </w:rPr>
        <w:t>equity reaches or exceeds $50,000 due to profits or fund transfers, according</w:t>
      </w:r>
      <w:r w:rsidR="004D15F1">
        <w:rPr>
          <w:rFonts w:ascii="PMingLiU" w:eastAsiaTheme="minorEastAsia" w:hAnsi="PMingLiU" w:hint="eastAsia"/>
          <w:lang w:eastAsia="zh-CN"/>
        </w:rPr>
        <w:t xml:space="preserve"> </w:t>
      </w:r>
      <w:r w:rsidRPr="006470D4">
        <w:rPr>
          <w:rFonts w:ascii="PMingLiU" w:eastAsia="PMingLiU" w:hAnsi="PMingLiU"/>
          <w:lang w:eastAsia="zh-CN"/>
        </w:rPr>
        <w:t>to the IEXS requirements, the equity of the trading account is greater than $50,000, its trading account leverage is maximum 1:500. Therefore</w:t>
      </w:r>
      <w:r w:rsidRPr="006470D4">
        <w:rPr>
          <w:rFonts w:ascii="PMingLiU" w:eastAsia="PMingLiU" w:hAnsi="PMingLiU" w:hint="eastAsia"/>
          <w:lang w:eastAsia="zh-CN"/>
        </w:rPr>
        <w:t>，</w:t>
      </w:r>
      <w:r w:rsidRPr="006470D4">
        <w:rPr>
          <w:rFonts w:ascii="PMingLiU" w:eastAsia="PMingLiU" w:hAnsi="PMingLiU"/>
          <w:lang w:eastAsia="zh-CN"/>
        </w:rPr>
        <w:t>IEXS will adjust the leverage of account A to 1:500, and the decrease in leverage will increase the required margin for positions. Please be aware of the risks associated with this adjustment. Please refer to the chart below for trading account equity and leverage.</w:t>
      </w:r>
    </w:p>
    <w:p w14:paraId="55C18EBB" w14:textId="77777777" w:rsidR="00431566" w:rsidRDefault="00431566" w:rsidP="00965032">
      <w:pPr>
        <w:pStyle w:val="a3"/>
        <w:spacing w:before="200" w:line="360" w:lineRule="auto"/>
        <w:rPr>
          <w:rFonts w:ascii="PMingLiU" w:eastAsiaTheme="minorEastAsia" w:hAnsi="PMingLiU" w:hint="eastAsia"/>
          <w:lang w:eastAsia="zh-CN"/>
        </w:rPr>
      </w:pPr>
    </w:p>
    <w:p w14:paraId="692D640C" w14:textId="77777777" w:rsidR="00D7156B" w:rsidRPr="00431566" w:rsidRDefault="00D7156B" w:rsidP="00965032">
      <w:pPr>
        <w:pStyle w:val="a3"/>
        <w:spacing w:before="200" w:line="360" w:lineRule="auto"/>
        <w:rPr>
          <w:rFonts w:ascii="PMingLiU" w:eastAsiaTheme="minorEastAsia" w:hAnsi="PMingLiU" w:hint="eastAsia"/>
          <w:lang w:eastAsia="zh-CN"/>
        </w:rPr>
      </w:pPr>
    </w:p>
    <w:tbl>
      <w:tblPr>
        <w:tblStyle w:val="ad"/>
        <w:tblW w:w="0" w:type="auto"/>
        <w:tblInd w:w="88" w:type="dxa"/>
        <w:tblLook w:val="04A0" w:firstRow="1" w:lastRow="0" w:firstColumn="1" w:lastColumn="0" w:noHBand="0" w:noVBand="1"/>
      </w:tblPr>
      <w:tblGrid>
        <w:gridCol w:w="2516"/>
        <w:gridCol w:w="2516"/>
        <w:gridCol w:w="2516"/>
        <w:gridCol w:w="2516"/>
      </w:tblGrid>
      <w:tr w:rsidR="00E06D26" w:rsidRPr="00AF63EC" w14:paraId="0A79CCB7" w14:textId="77777777" w:rsidTr="00263DB4">
        <w:tc>
          <w:tcPr>
            <w:tcW w:w="50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40DE0B0E" w14:textId="77777777" w:rsidR="00E06D26" w:rsidRPr="00AF63EC" w:rsidRDefault="00E06D26" w:rsidP="00263DB4">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Account Type</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215AFA52" w14:textId="77777777" w:rsidR="00E06D26" w:rsidRPr="00AF63EC" w:rsidRDefault="00E06D26" w:rsidP="00263DB4">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Standard Account</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3A41D449" w14:textId="77777777" w:rsidR="00E06D26" w:rsidRPr="00AF63EC" w:rsidRDefault="00E06D26" w:rsidP="00263DB4">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DMA Account</w:t>
            </w:r>
          </w:p>
        </w:tc>
      </w:tr>
      <w:tr w:rsidR="00E06D26" w:rsidRPr="00AF63EC" w14:paraId="57B03A20" w14:textId="77777777" w:rsidTr="00263DB4">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7DAF33EF" w14:textId="77777777" w:rsidR="00E06D26" w:rsidRPr="00AF63EC" w:rsidRDefault="00E06D26" w:rsidP="00263DB4">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Instrument Type</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45686583" w14:textId="77777777" w:rsidR="00E06D26" w:rsidRPr="00AF63EC" w:rsidRDefault="00E06D26" w:rsidP="00263DB4">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 xml:space="preserve">Account </w:t>
            </w:r>
            <w:r>
              <w:rPr>
                <w:rFonts w:ascii="微软雅黑 Light" w:eastAsia="微软雅黑 Light" w:hAnsi="微软雅黑 Light"/>
                <w:b/>
                <w:bCs/>
                <w:color w:val="FFFFFF" w:themeColor="background1"/>
                <w:lang w:eastAsia="zh-CN"/>
              </w:rPr>
              <w:t>E</w:t>
            </w:r>
            <w:r w:rsidRPr="00AF63EC">
              <w:rPr>
                <w:rFonts w:ascii="微软雅黑 Light" w:eastAsia="微软雅黑 Light" w:hAnsi="微软雅黑 Light"/>
                <w:b/>
                <w:bCs/>
                <w:color w:val="FFFFFF" w:themeColor="background1"/>
                <w:lang w:eastAsia="zh-CN"/>
              </w:rPr>
              <w:t>quit</w:t>
            </w:r>
            <w:r w:rsidRPr="00AF63EC">
              <w:rPr>
                <w:rFonts w:ascii="微软雅黑 Light" w:eastAsia="微软雅黑 Light" w:hAnsi="微软雅黑 Light" w:hint="eastAsia"/>
                <w:b/>
                <w:bCs/>
                <w:color w:val="FFFFFF" w:themeColor="background1"/>
                <w:lang w:eastAsia="zh-CN"/>
              </w:rPr>
              <w:t>y</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510B3F03" w14:textId="77777777" w:rsidR="00E06D26" w:rsidRPr="00AF63EC" w:rsidRDefault="00E06D26" w:rsidP="00263DB4">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Leverage Available</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377D2990" w14:textId="77777777" w:rsidR="00E06D26" w:rsidRPr="00AF63EC" w:rsidRDefault="00E06D26" w:rsidP="00263DB4">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Leverage Available</w:t>
            </w:r>
          </w:p>
        </w:tc>
      </w:tr>
      <w:tr w:rsidR="00E06D26" w:rsidRPr="00C7339E" w14:paraId="7EC0495B" w14:textId="77777777" w:rsidTr="00263DB4">
        <w:tc>
          <w:tcPr>
            <w:tcW w:w="2516" w:type="dxa"/>
            <w:tcBorders>
              <w:top w:val="single" w:sz="4" w:space="0" w:color="FFFFFF" w:themeColor="background1"/>
            </w:tcBorders>
            <w:vAlign w:val="center"/>
          </w:tcPr>
          <w:p w14:paraId="1EB2BC09"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Shares/Crypto Currency</w:t>
            </w:r>
          </w:p>
        </w:tc>
        <w:tc>
          <w:tcPr>
            <w:tcW w:w="2516" w:type="dxa"/>
            <w:tcBorders>
              <w:top w:val="single" w:sz="4" w:space="0" w:color="FFFFFF" w:themeColor="background1"/>
            </w:tcBorders>
            <w:vAlign w:val="center"/>
          </w:tcPr>
          <w:p w14:paraId="49E47A03" w14:textId="6790CC32"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≥0</w:t>
            </w:r>
          </w:p>
        </w:tc>
        <w:tc>
          <w:tcPr>
            <w:tcW w:w="2516" w:type="dxa"/>
            <w:tcBorders>
              <w:top w:val="single" w:sz="4" w:space="0" w:color="FFFFFF" w:themeColor="background1"/>
            </w:tcBorders>
            <w:vAlign w:val="center"/>
          </w:tcPr>
          <w:p w14:paraId="5D29AFA3"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1:10</w:t>
            </w:r>
          </w:p>
        </w:tc>
        <w:tc>
          <w:tcPr>
            <w:tcW w:w="2516" w:type="dxa"/>
            <w:tcBorders>
              <w:top w:val="single" w:sz="4" w:space="0" w:color="FFFFFF" w:themeColor="background1"/>
            </w:tcBorders>
            <w:vAlign w:val="center"/>
          </w:tcPr>
          <w:p w14:paraId="2343E54C"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1:10</w:t>
            </w:r>
          </w:p>
        </w:tc>
      </w:tr>
      <w:tr w:rsidR="00E06D26" w:rsidRPr="00C7339E" w14:paraId="51599AFC" w14:textId="77777777" w:rsidTr="00263DB4">
        <w:tc>
          <w:tcPr>
            <w:tcW w:w="2516" w:type="dxa"/>
            <w:vAlign w:val="center"/>
          </w:tcPr>
          <w:p w14:paraId="31CB2377"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Indices</w:t>
            </w:r>
          </w:p>
        </w:tc>
        <w:tc>
          <w:tcPr>
            <w:tcW w:w="2516" w:type="dxa"/>
            <w:vAlign w:val="center"/>
          </w:tcPr>
          <w:p w14:paraId="591C6C5D" w14:textId="65B84EE6"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≥0</w:t>
            </w:r>
          </w:p>
        </w:tc>
        <w:tc>
          <w:tcPr>
            <w:tcW w:w="2516" w:type="dxa"/>
          </w:tcPr>
          <w:p w14:paraId="32760759"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1:20</w:t>
            </w:r>
          </w:p>
        </w:tc>
        <w:tc>
          <w:tcPr>
            <w:tcW w:w="2516" w:type="dxa"/>
          </w:tcPr>
          <w:p w14:paraId="7504B9D2"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1:20</w:t>
            </w:r>
          </w:p>
        </w:tc>
      </w:tr>
      <w:tr w:rsidR="00E06D26" w:rsidRPr="00C7339E" w14:paraId="74534069" w14:textId="77777777" w:rsidTr="00263DB4">
        <w:tc>
          <w:tcPr>
            <w:tcW w:w="2516" w:type="dxa"/>
            <w:vAlign w:val="center"/>
          </w:tcPr>
          <w:p w14:paraId="759B8C63"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Oil</w:t>
            </w:r>
          </w:p>
        </w:tc>
        <w:tc>
          <w:tcPr>
            <w:tcW w:w="2516" w:type="dxa"/>
            <w:vAlign w:val="center"/>
          </w:tcPr>
          <w:p w14:paraId="6B659FCF" w14:textId="257A9E63"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≥0</w:t>
            </w:r>
          </w:p>
        </w:tc>
        <w:tc>
          <w:tcPr>
            <w:tcW w:w="2516" w:type="dxa"/>
          </w:tcPr>
          <w:p w14:paraId="34B0AD21"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w:t>
            </w:r>
            <w:r>
              <w:rPr>
                <w:rFonts w:ascii="微软雅黑 Light" w:eastAsia="微软雅黑 Light" w:hAnsi="微软雅黑 Light" w:hint="eastAsia"/>
                <w:b/>
                <w:bCs/>
                <w:lang w:eastAsia="zh-CN"/>
              </w:rPr>
              <w:t>100</w:t>
            </w:r>
          </w:p>
        </w:tc>
        <w:tc>
          <w:tcPr>
            <w:tcW w:w="2516" w:type="dxa"/>
          </w:tcPr>
          <w:p w14:paraId="78EE983C"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w:t>
            </w:r>
            <w:r>
              <w:rPr>
                <w:rFonts w:ascii="微软雅黑 Light" w:eastAsia="微软雅黑 Light" w:hAnsi="微软雅黑 Light" w:hint="eastAsia"/>
                <w:b/>
                <w:bCs/>
                <w:lang w:eastAsia="zh-CN"/>
              </w:rPr>
              <w:t>100</w:t>
            </w:r>
          </w:p>
        </w:tc>
      </w:tr>
      <w:tr w:rsidR="00E06D26" w:rsidRPr="00C7339E" w14:paraId="3E2145F1" w14:textId="77777777" w:rsidTr="00263DB4">
        <w:tc>
          <w:tcPr>
            <w:tcW w:w="2516" w:type="dxa"/>
            <w:vAlign w:val="center"/>
          </w:tcPr>
          <w:p w14:paraId="38DAFDD9"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Sliver</w:t>
            </w:r>
          </w:p>
        </w:tc>
        <w:tc>
          <w:tcPr>
            <w:tcW w:w="2516" w:type="dxa"/>
            <w:vAlign w:val="center"/>
          </w:tcPr>
          <w:p w14:paraId="4449317E" w14:textId="63CD4C4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≥0</w:t>
            </w:r>
          </w:p>
        </w:tc>
        <w:tc>
          <w:tcPr>
            <w:tcW w:w="2516" w:type="dxa"/>
          </w:tcPr>
          <w:p w14:paraId="46FC8970"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1:100</w:t>
            </w:r>
          </w:p>
        </w:tc>
        <w:tc>
          <w:tcPr>
            <w:tcW w:w="2516" w:type="dxa"/>
          </w:tcPr>
          <w:p w14:paraId="61315F48"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1:100</w:t>
            </w:r>
          </w:p>
        </w:tc>
      </w:tr>
      <w:tr w:rsidR="00E06D26" w:rsidRPr="00C7339E" w14:paraId="47FC4370" w14:textId="77777777" w:rsidTr="00263DB4">
        <w:tc>
          <w:tcPr>
            <w:tcW w:w="2516" w:type="dxa"/>
            <w:vMerge w:val="restart"/>
            <w:vAlign w:val="center"/>
          </w:tcPr>
          <w:p w14:paraId="1D8500E6"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lastRenderedPageBreak/>
              <w:t>Gold</w:t>
            </w:r>
          </w:p>
        </w:tc>
        <w:tc>
          <w:tcPr>
            <w:tcW w:w="2516" w:type="dxa"/>
            <w:vAlign w:val="center"/>
          </w:tcPr>
          <w:p w14:paraId="128042F0"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＜1000</w:t>
            </w:r>
          </w:p>
        </w:tc>
        <w:tc>
          <w:tcPr>
            <w:tcW w:w="2516" w:type="dxa"/>
          </w:tcPr>
          <w:p w14:paraId="5D949A52" w14:textId="7E92AAA2"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1:400</w:t>
            </w:r>
            <w:r w:rsidR="00487136">
              <w:rPr>
                <w:rFonts w:ascii="微软雅黑 Light" w:eastAsia="微软雅黑 Light" w:hAnsi="微软雅黑 Light"/>
                <w:b/>
                <w:bCs/>
                <w:lang w:eastAsia="zh-CN"/>
              </w:rPr>
              <w:br/>
            </w:r>
            <w:r w:rsidR="00487136">
              <w:rPr>
                <w:rFonts w:ascii="微软雅黑 Light" w:eastAsia="微软雅黑 Light" w:hAnsi="微软雅黑 Light" w:hint="eastAsia"/>
                <w:b/>
                <w:bCs/>
                <w:lang w:eastAsia="zh-CN"/>
              </w:rPr>
              <w:t>1:500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1:1000</w:t>
            </w:r>
          </w:p>
        </w:tc>
        <w:tc>
          <w:tcPr>
            <w:tcW w:w="2516" w:type="dxa"/>
          </w:tcPr>
          <w:p w14:paraId="28F13147"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1:500</w:t>
            </w:r>
          </w:p>
        </w:tc>
      </w:tr>
      <w:tr w:rsidR="00E06D26" w:rsidRPr="00C7339E" w14:paraId="7E7EEDF6" w14:textId="77777777" w:rsidTr="00263DB4">
        <w:tc>
          <w:tcPr>
            <w:tcW w:w="2516" w:type="dxa"/>
            <w:vMerge/>
            <w:vAlign w:val="center"/>
          </w:tcPr>
          <w:p w14:paraId="33B406F1"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1C7B0A91"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≥1000</w:t>
            </w:r>
          </w:p>
        </w:tc>
        <w:tc>
          <w:tcPr>
            <w:tcW w:w="2516" w:type="dxa"/>
          </w:tcPr>
          <w:p w14:paraId="37512D4D" w14:textId="4BFAE7C8"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1:400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1:500</w:t>
            </w:r>
          </w:p>
        </w:tc>
        <w:tc>
          <w:tcPr>
            <w:tcW w:w="2516" w:type="dxa"/>
          </w:tcPr>
          <w:p w14:paraId="4043A788"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1:250</w:t>
            </w:r>
          </w:p>
        </w:tc>
      </w:tr>
      <w:tr w:rsidR="00E06D26" w:rsidRPr="00C7339E" w14:paraId="4C309CE5" w14:textId="77777777" w:rsidTr="00263DB4">
        <w:tc>
          <w:tcPr>
            <w:tcW w:w="2516" w:type="dxa"/>
            <w:vMerge/>
            <w:vAlign w:val="center"/>
          </w:tcPr>
          <w:p w14:paraId="667BE33C"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39C97227"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≥2000</w:t>
            </w:r>
          </w:p>
        </w:tc>
        <w:tc>
          <w:tcPr>
            <w:tcW w:w="2516" w:type="dxa"/>
          </w:tcPr>
          <w:p w14:paraId="002D1797" w14:textId="01FAE4DA"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1:400</w:t>
            </w:r>
          </w:p>
        </w:tc>
        <w:tc>
          <w:tcPr>
            <w:tcW w:w="2516" w:type="dxa"/>
          </w:tcPr>
          <w:p w14:paraId="5CEEB207"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1:200</w:t>
            </w:r>
          </w:p>
        </w:tc>
      </w:tr>
      <w:tr w:rsidR="00E06D26" w:rsidRPr="00C7339E" w14:paraId="484CC3F4" w14:textId="77777777" w:rsidTr="00263DB4">
        <w:tc>
          <w:tcPr>
            <w:tcW w:w="2516" w:type="dxa"/>
            <w:vMerge/>
            <w:vAlign w:val="center"/>
          </w:tcPr>
          <w:p w14:paraId="7FFFEA0F"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17C33EBB" w14:textId="7F05F5C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≥50000</w:t>
            </w:r>
          </w:p>
        </w:tc>
        <w:tc>
          <w:tcPr>
            <w:tcW w:w="2516" w:type="dxa"/>
          </w:tcPr>
          <w:p w14:paraId="384A5A62" w14:textId="30E433B5"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1:250</w:t>
            </w:r>
          </w:p>
        </w:tc>
        <w:tc>
          <w:tcPr>
            <w:tcW w:w="2516" w:type="dxa"/>
          </w:tcPr>
          <w:p w14:paraId="177A4243"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p>
        </w:tc>
      </w:tr>
      <w:tr w:rsidR="00E06D26" w:rsidRPr="00C7339E" w14:paraId="7523F455" w14:textId="77777777" w:rsidTr="00263DB4">
        <w:tc>
          <w:tcPr>
            <w:tcW w:w="2516" w:type="dxa"/>
            <w:vMerge/>
            <w:vAlign w:val="center"/>
          </w:tcPr>
          <w:p w14:paraId="440649A6"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40442F42"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≥100000</w:t>
            </w:r>
          </w:p>
        </w:tc>
        <w:tc>
          <w:tcPr>
            <w:tcW w:w="2516" w:type="dxa"/>
          </w:tcPr>
          <w:p w14:paraId="12D5DB89" w14:textId="1E041C50"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p>
        </w:tc>
        <w:tc>
          <w:tcPr>
            <w:tcW w:w="2516" w:type="dxa"/>
          </w:tcPr>
          <w:p w14:paraId="3153C11B" w14:textId="13BB736E"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p>
        </w:tc>
      </w:tr>
      <w:tr w:rsidR="00E06D26" w:rsidRPr="00C7339E" w14:paraId="21BF1FA6" w14:textId="77777777" w:rsidTr="00263DB4">
        <w:tc>
          <w:tcPr>
            <w:tcW w:w="2516" w:type="dxa"/>
            <w:vMerge/>
            <w:vAlign w:val="center"/>
          </w:tcPr>
          <w:p w14:paraId="7F6164AD"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56602E2B"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≥150000</w:t>
            </w:r>
          </w:p>
        </w:tc>
        <w:tc>
          <w:tcPr>
            <w:tcW w:w="2516" w:type="dxa"/>
          </w:tcPr>
          <w:p w14:paraId="42D8020F" w14:textId="61EE81B3"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p>
        </w:tc>
        <w:tc>
          <w:tcPr>
            <w:tcW w:w="2516" w:type="dxa"/>
          </w:tcPr>
          <w:p w14:paraId="73D3DC80"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p>
        </w:tc>
      </w:tr>
      <w:tr w:rsidR="00E06D26" w:rsidRPr="00C7339E" w14:paraId="7E39F4D6" w14:textId="77777777" w:rsidTr="00263DB4">
        <w:tc>
          <w:tcPr>
            <w:tcW w:w="2516" w:type="dxa"/>
            <w:vMerge/>
            <w:vAlign w:val="center"/>
          </w:tcPr>
          <w:p w14:paraId="3C2DF49A"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4A0D94DB"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≥2000000</w:t>
            </w:r>
          </w:p>
        </w:tc>
        <w:tc>
          <w:tcPr>
            <w:tcW w:w="2516" w:type="dxa"/>
          </w:tcPr>
          <w:p w14:paraId="06147865" w14:textId="29942166"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p>
        </w:tc>
        <w:tc>
          <w:tcPr>
            <w:tcW w:w="2516" w:type="dxa"/>
          </w:tcPr>
          <w:p w14:paraId="5A5B5E35"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p>
        </w:tc>
      </w:tr>
      <w:tr w:rsidR="00E06D26" w:rsidRPr="00C7339E" w14:paraId="6056D98B" w14:textId="77777777" w:rsidTr="00263DB4">
        <w:tc>
          <w:tcPr>
            <w:tcW w:w="2516" w:type="dxa"/>
            <w:vMerge w:val="restart"/>
            <w:vAlign w:val="center"/>
          </w:tcPr>
          <w:p w14:paraId="1072B0ED" w14:textId="529B891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Forex</w:t>
            </w:r>
          </w:p>
        </w:tc>
        <w:tc>
          <w:tcPr>
            <w:tcW w:w="2516" w:type="dxa"/>
            <w:vAlign w:val="center"/>
          </w:tcPr>
          <w:p w14:paraId="1AFA3F41" w14:textId="36FA9C9E"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＜1000</w:t>
            </w:r>
          </w:p>
        </w:tc>
        <w:tc>
          <w:tcPr>
            <w:tcW w:w="2516" w:type="dxa"/>
          </w:tcPr>
          <w:p w14:paraId="0D595B36" w14:textId="3D47A94E"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1:500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1:800</w:t>
            </w:r>
            <w:r w:rsidR="00A1059A">
              <w:rPr>
                <w:rFonts w:ascii="微软雅黑 Light" w:eastAsia="微软雅黑 Light" w:hAnsi="微软雅黑 Light"/>
                <w:b/>
                <w:bCs/>
                <w:lang w:eastAsia="zh-CN"/>
              </w:rPr>
              <w:br/>
            </w:r>
            <w:r w:rsidR="00A1059A">
              <w:rPr>
                <w:rFonts w:ascii="微软雅黑 Light" w:eastAsia="微软雅黑 Light" w:hAnsi="微软雅黑 Light" w:hint="eastAsia"/>
                <w:b/>
                <w:bCs/>
                <w:lang w:eastAsia="zh-CN"/>
              </w:rPr>
              <w:lastRenderedPageBreak/>
              <w:t>1:1000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1:2000</w:t>
            </w:r>
          </w:p>
        </w:tc>
        <w:tc>
          <w:tcPr>
            <w:tcW w:w="2516" w:type="dxa"/>
          </w:tcPr>
          <w:p w14:paraId="380CDBBE"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lastRenderedPageBreak/>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1:400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1:1000</w:t>
            </w:r>
          </w:p>
        </w:tc>
      </w:tr>
      <w:tr w:rsidR="00E06D26" w:rsidRPr="00C7339E" w14:paraId="75152BC4" w14:textId="77777777" w:rsidTr="00263DB4">
        <w:tc>
          <w:tcPr>
            <w:tcW w:w="2516" w:type="dxa"/>
            <w:vMerge/>
            <w:vAlign w:val="center"/>
          </w:tcPr>
          <w:p w14:paraId="7EE49B4F"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23272288" w14:textId="48EB49BA"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≥1000</w:t>
            </w:r>
          </w:p>
        </w:tc>
        <w:tc>
          <w:tcPr>
            <w:tcW w:w="2516" w:type="dxa"/>
          </w:tcPr>
          <w:p w14:paraId="2F648690"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1:500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1:800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1:1000</w:t>
            </w:r>
          </w:p>
        </w:tc>
        <w:tc>
          <w:tcPr>
            <w:tcW w:w="2516" w:type="dxa"/>
          </w:tcPr>
          <w:p w14:paraId="3E8AFCE8"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1:400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1:500</w:t>
            </w:r>
          </w:p>
        </w:tc>
      </w:tr>
      <w:tr w:rsidR="00E06D26" w:rsidRPr="00C7339E" w14:paraId="05BE77A6" w14:textId="77777777" w:rsidTr="00263DB4">
        <w:tc>
          <w:tcPr>
            <w:tcW w:w="2516" w:type="dxa"/>
            <w:vMerge/>
            <w:vAlign w:val="center"/>
          </w:tcPr>
          <w:p w14:paraId="483CF617"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65B99BCE"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≥2000</w:t>
            </w:r>
          </w:p>
        </w:tc>
        <w:tc>
          <w:tcPr>
            <w:tcW w:w="2516" w:type="dxa"/>
          </w:tcPr>
          <w:p w14:paraId="1C9B2AAB"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1:500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1:800</w:t>
            </w:r>
          </w:p>
        </w:tc>
        <w:tc>
          <w:tcPr>
            <w:tcW w:w="2516" w:type="dxa"/>
          </w:tcPr>
          <w:p w14:paraId="07C0AD21"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1:400</w:t>
            </w:r>
          </w:p>
        </w:tc>
      </w:tr>
      <w:tr w:rsidR="00E06D26" w:rsidRPr="00C7339E" w14:paraId="5FAE5856" w14:textId="77777777" w:rsidTr="00263DB4">
        <w:tc>
          <w:tcPr>
            <w:tcW w:w="2516" w:type="dxa"/>
            <w:vMerge/>
            <w:vAlign w:val="center"/>
          </w:tcPr>
          <w:p w14:paraId="7700D8AB"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76850F41"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≥50000</w:t>
            </w:r>
          </w:p>
        </w:tc>
        <w:tc>
          <w:tcPr>
            <w:tcW w:w="2516" w:type="dxa"/>
          </w:tcPr>
          <w:p w14:paraId="69A7299F"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1:500</w:t>
            </w:r>
          </w:p>
        </w:tc>
        <w:tc>
          <w:tcPr>
            <w:tcW w:w="2516" w:type="dxa"/>
          </w:tcPr>
          <w:p w14:paraId="4CF4A016"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p>
        </w:tc>
      </w:tr>
      <w:tr w:rsidR="00E06D26" w:rsidRPr="00C7339E" w14:paraId="536B9516" w14:textId="77777777" w:rsidTr="00263DB4">
        <w:tc>
          <w:tcPr>
            <w:tcW w:w="2516" w:type="dxa"/>
            <w:vMerge/>
            <w:vAlign w:val="center"/>
          </w:tcPr>
          <w:p w14:paraId="3E7FCE1C"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4812CD1B"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≥100000</w:t>
            </w:r>
          </w:p>
        </w:tc>
        <w:tc>
          <w:tcPr>
            <w:tcW w:w="2516" w:type="dxa"/>
          </w:tcPr>
          <w:p w14:paraId="145362D9"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p>
        </w:tc>
        <w:tc>
          <w:tcPr>
            <w:tcW w:w="2516" w:type="dxa"/>
          </w:tcPr>
          <w:p w14:paraId="5E03D0BC"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p>
        </w:tc>
      </w:tr>
      <w:tr w:rsidR="00E06D26" w:rsidRPr="00C7339E" w14:paraId="136FBE76" w14:textId="77777777" w:rsidTr="00263DB4">
        <w:tc>
          <w:tcPr>
            <w:tcW w:w="2516" w:type="dxa"/>
            <w:vMerge/>
            <w:vAlign w:val="center"/>
          </w:tcPr>
          <w:p w14:paraId="61435032"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6E687AE2"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≥150000</w:t>
            </w:r>
          </w:p>
        </w:tc>
        <w:tc>
          <w:tcPr>
            <w:tcW w:w="2516" w:type="dxa"/>
          </w:tcPr>
          <w:p w14:paraId="393F1F72"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p>
        </w:tc>
        <w:tc>
          <w:tcPr>
            <w:tcW w:w="2516" w:type="dxa"/>
          </w:tcPr>
          <w:p w14:paraId="45A62F42"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p>
        </w:tc>
      </w:tr>
      <w:tr w:rsidR="00E06D26" w:rsidRPr="00C7339E" w14:paraId="2E6C9A49" w14:textId="77777777" w:rsidTr="00263DB4">
        <w:tc>
          <w:tcPr>
            <w:tcW w:w="2516" w:type="dxa"/>
            <w:vMerge/>
            <w:vAlign w:val="center"/>
          </w:tcPr>
          <w:p w14:paraId="40EA7348"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7D5576C1"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≥200000</w:t>
            </w:r>
          </w:p>
        </w:tc>
        <w:tc>
          <w:tcPr>
            <w:tcW w:w="2516" w:type="dxa"/>
          </w:tcPr>
          <w:p w14:paraId="52B9D601"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p>
        </w:tc>
        <w:tc>
          <w:tcPr>
            <w:tcW w:w="2516" w:type="dxa"/>
          </w:tcPr>
          <w:p w14:paraId="3E53C300" w14:textId="77777777" w:rsidR="00E06D26" w:rsidRPr="00C7339E" w:rsidRDefault="00E06D26" w:rsidP="00263DB4">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p>
        </w:tc>
      </w:tr>
    </w:tbl>
    <w:p w14:paraId="23211541" w14:textId="5E9B2A55" w:rsidR="00212E88" w:rsidRDefault="004C0B2A" w:rsidP="00965032">
      <w:pPr>
        <w:pStyle w:val="a3"/>
        <w:spacing w:before="200" w:line="360" w:lineRule="auto"/>
        <w:rPr>
          <w:rFonts w:ascii="PMingLiU" w:eastAsiaTheme="minorEastAsia" w:hAnsi="PMingLiU" w:hint="eastAsia"/>
          <w:lang w:eastAsia="zh-CN"/>
        </w:rPr>
      </w:pPr>
      <w:r w:rsidRPr="004C0B2A">
        <w:rPr>
          <w:rFonts w:ascii="PMingLiU" w:eastAsia="宋体" w:hAnsi="PMingLiU"/>
          <w:lang w:eastAsia="zh-CN"/>
        </w:rPr>
        <w:t xml:space="preserve">Note: The leverage for certain Special index and stock products may differ from the leverage Shown in the chart. For specific details, </w:t>
      </w:r>
      <w:proofErr w:type="gramStart"/>
      <w:r w:rsidRPr="004C0B2A">
        <w:rPr>
          <w:rFonts w:ascii="PMingLiU" w:eastAsia="宋体" w:hAnsi="PMingLiU"/>
          <w:lang w:eastAsia="zh-CN"/>
        </w:rPr>
        <w:t>Please</w:t>
      </w:r>
      <w:proofErr w:type="gramEnd"/>
      <w:r w:rsidRPr="004C0B2A">
        <w:rPr>
          <w:rFonts w:ascii="PMingLiU" w:eastAsia="宋体" w:hAnsi="PMingLiU"/>
          <w:lang w:eastAsia="zh-CN"/>
        </w:rPr>
        <w:t xml:space="preserve"> refer to: https://iexs.comy/indices- shares-specification/</w:t>
      </w:r>
    </w:p>
    <w:p w14:paraId="7A2799A5" w14:textId="77777777" w:rsidR="00CD55B2" w:rsidRPr="00CD55B2" w:rsidRDefault="00CD55B2" w:rsidP="00965032">
      <w:pPr>
        <w:pStyle w:val="a3"/>
        <w:spacing w:before="200" w:line="360" w:lineRule="auto"/>
        <w:rPr>
          <w:rFonts w:ascii="PMingLiU" w:eastAsiaTheme="minorEastAsia" w:hAnsi="PMingLiU" w:hint="eastAsia"/>
          <w:lang w:eastAsia="zh-CN"/>
        </w:rPr>
      </w:pPr>
    </w:p>
    <w:p w14:paraId="44D162A0" w14:textId="36187F33" w:rsidR="00EC09A6" w:rsidRPr="00431566" w:rsidRDefault="00E1505D" w:rsidP="00EC09A6">
      <w:pPr>
        <w:pStyle w:val="a3"/>
        <w:spacing w:before="200" w:line="360" w:lineRule="auto"/>
        <w:rPr>
          <w:rFonts w:ascii="PMingLiU" w:eastAsia="PMingLiU" w:hAnsi="PMingLiU" w:hint="eastAsia"/>
          <w:b/>
          <w:bCs/>
          <w:lang w:eastAsia="zh-CN"/>
        </w:rPr>
      </w:pPr>
      <w:r w:rsidRPr="00E1505D">
        <w:rPr>
          <w:rFonts w:ascii="PMingLiU" w:eastAsia="宋体" w:hAnsi="PMingLiU"/>
          <w:b/>
          <w:bCs/>
          <w:lang w:eastAsia="zh-CN"/>
        </w:rPr>
        <w:t>Minimum Margin Requirement</w:t>
      </w:r>
    </w:p>
    <w:p w14:paraId="7F0A2E56" w14:textId="7BD5A25B" w:rsidR="00C07EF6" w:rsidRPr="00431566" w:rsidRDefault="00D43E13" w:rsidP="00EC09A6">
      <w:pPr>
        <w:pStyle w:val="a3"/>
        <w:spacing w:before="200" w:line="360" w:lineRule="auto"/>
        <w:rPr>
          <w:rFonts w:ascii="PMingLiU" w:eastAsia="PMingLiU" w:hAnsi="PMingLiU" w:hint="eastAsia"/>
          <w:lang w:eastAsia="zh-CN"/>
        </w:rPr>
      </w:pPr>
      <w:r w:rsidRPr="00D43E13">
        <w:rPr>
          <w:rFonts w:ascii="PMingLiU" w:eastAsia="宋体" w:hAnsi="PMingLiU"/>
          <w:lang w:eastAsia="zh-CN"/>
        </w:rPr>
        <w:t>The minimum margin required to open a position depends on the desired leverage</w:t>
      </w:r>
      <w:r w:rsidRPr="00D43E13">
        <w:rPr>
          <w:rFonts w:ascii="PMingLiU" w:eastAsia="宋体" w:hAnsi="PMingLiU" w:hint="eastAsia"/>
          <w:lang w:eastAsia="zh-CN"/>
        </w:rPr>
        <w:t>，</w:t>
      </w:r>
      <w:r w:rsidRPr="00D43E13">
        <w:rPr>
          <w:rFonts w:ascii="PMingLiU" w:eastAsia="宋体" w:hAnsi="PMingLiU"/>
          <w:lang w:eastAsia="zh-CN"/>
        </w:rPr>
        <w:t xml:space="preserve">instrument and </w:t>
      </w:r>
      <w:r w:rsidR="008B64DC" w:rsidRPr="00D43E13">
        <w:rPr>
          <w:rFonts w:ascii="PMingLiU" w:eastAsia="宋体" w:hAnsi="PMingLiU"/>
          <w:lang w:eastAsia="zh-CN"/>
        </w:rPr>
        <w:t>current</w:t>
      </w:r>
      <w:r w:rsidRPr="00D43E13">
        <w:rPr>
          <w:rFonts w:ascii="PMingLiU" w:eastAsia="宋体" w:hAnsi="PMingLiU"/>
          <w:lang w:eastAsia="zh-CN"/>
        </w:rPr>
        <w:t xml:space="preserve"> market </w:t>
      </w:r>
      <w:r w:rsidR="00DA4ADB">
        <w:rPr>
          <w:rFonts w:ascii="PMingLiU" w:eastAsia="宋体" w:hAnsi="PMingLiU" w:hint="eastAsia"/>
          <w:lang w:eastAsia="zh-CN"/>
        </w:rPr>
        <w:t>p</w:t>
      </w:r>
      <w:r w:rsidRPr="00D43E13">
        <w:rPr>
          <w:rFonts w:ascii="PMingLiU" w:eastAsia="宋体" w:hAnsi="PMingLiU"/>
          <w:lang w:eastAsia="zh-CN"/>
        </w:rPr>
        <w:t>rices. Notification emails will be sent when the available margin in the trading account falls below the 150% threshold.</w:t>
      </w:r>
    </w:p>
    <w:p w14:paraId="5C7D9B0D" w14:textId="77777777" w:rsidR="00CD55B2" w:rsidRPr="00431566" w:rsidRDefault="00CD55B2" w:rsidP="00EC09A6">
      <w:pPr>
        <w:pStyle w:val="a3"/>
        <w:spacing w:before="200" w:line="360" w:lineRule="auto"/>
        <w:rPr>
          <w:rFonts w:ascii="PMingLiU" w:eastAsia="PMingLiU" w:hAnsi="PMingLiU" w:hint="eastAsia"/>
          <w:b/>
          <w:bCs/>
          <w:lang w:eastAsia="zh-CN"/>
        </w:rPr>
      </w:pPr>
    </w:p>
    <w:p w14:paraId="44A0903A" w14:textId="08A54F7F" w:rsidR="00C07EF6" w:rsidRPr="00431566" w:rsidRDefault="007A5C2D" w:rsidP="00C07EF6">
      <w:pPr>
        <w:pStyle w:val="a3"/>
        <w:spacing w:before="200" w:line="360" w:lineRule="auto"/>
        <w:rPr>
          <w:rFonts w:ascii="PMingLiU" w:eastAsia="PMingLiU" w:hAnsi="PMingLiU" w:hint="eastAsia"/>
          <w:b/>
          <w:bCs/>
          <w:lang w:eastAsia="zh-CN"/>
        </w:rPr>
      </w:pPr>
      <w:r w:rsidRPr="007A5C2D">
        <w:rPr>
          <w:rFonts w:ascii="PMingLiU" w:eastAsia="宋体" w:hAnsi="PMingLiU"/>
          <w:b/>
          <w:bCs/>
          <w:lang w:eastAsia="zh-CN"/>
        </w:rPr>
        <w:t>Margin Call and Margin Cut Policy</w:t>
      </w:r>
    </w:p>
    <w:p w14:paraId="436C32DD" w14:textId="0A8CF303" w:rsidR="005051E9" w:rsidRDefault="004806DF" w:rsidP="00431566">
      <w:pPr>
        <w:pStyle w:val="a3"/>
        <w:spacing w:before="200" w:line="360" w:lineRule="auto"/>
        <w:rPr>
          <w:rFonts w:ascii="PMingLiU" w:eastAsia="宋体" w:hAnsi="PMingLiU" w:hint="eastAsia"/>
          <w:lang w:eastAsia="zh-CN"/>
        </w:rPr>
      </w:pPr>
      <w:r w:rsidRPr="004806DF">
        <w:rPr>
          <w:rFonts w:ascii="PMingLiU" w:eastAsia="宋体" w:hAnsi="PMingLiU"/>
          <w:lang w:eastAsia="zh-CN"/>
        </w:rPr>
        <w:t>Margin call (Use of leverage &gt; 100%) - means when a client does not have</w:t>
      </w:r>
      <w:r w:rsidR="00BA08B6">
        <w:rPr>
          <w:rFonts w:ascii="PMingLiU" w:eastAsia="宋体" w:hAnsi="PMingLiU" w:hint="eastAsia"/>
          <w:lang w:eastAsia="zh-CN"/>
        </w:rPr>
        <w:t xml:space="preserve"> </w:t>
      </w:r>
      <w:r w:rsidRPr="004806DF">
        <w:rPr>
          <w:rFonts w:ascii="PMingLiU" w:eastAsia="宋体" w:hAnsi="PMingLiU"/>
          <w:lang w:eastAsia="zh-CN"/>
        </w:rPr>
        <w:t xml:space="preserve">enough margin to adjust their </w:t>
      </w:r>
      <w:r w:rsidR="00F97008">
        <w:rPr>
          <w:rFonts w:ascii="PMingLiU" w:eastAsia="宋体" w:hAnsi="PMingLiU" w:hint="eastAsia"/>
          <w:lang w:eastAsia="zh-CN"/>
        </w:rPr>
        <w:t>p</w:t>
      </w:r>
      <w:r w:rsidRPr="004806DF">
        <w:rPr>
          <w:rFonts w:ascii="PMingLiU" w:eastAsia="宋体" w:hAnsi="PMingLiU"/>
          <w:lang w:eastAsia="zh-CN"/>
        </w:rPr>
        <w:t xml:space="preserve">osition </w:t>
      </w:r>
      <w:r w:rsidR="00F97008">
        <w:rPr>
          <w:rFonts w:ascii="PMingLiU" w:eastAsia="宋体" w:hAnsi="PMingLiU" w:hint="eastAsia"/>
          <w:lang w:eastAsia="zh-CN"/>
        </w:rPr>
        <w:t>u</w:t>
      </w:r>
      <w:r w:rsidRPr="004806DF">
        <w:rPr>
          <w:rFonts w:ascii="PMingLiU" w:eastAsia="宋体" w:hAnsi="PMingLiU"/>
          <w:lang w:eastAsia="zh-CN"/>
        </w:rPr>
        <w:t>nilaterally. The client may only execute trades</w:t>
      </w:r>
      <w:r w:rsidR="00F97008">
        <w:rPr>
          <w:rFonts w:ascii="PMingLiU" w:eastAsia="宋体" w:hAnsi="PMingLiU" w:hint="eastAsia"/>
          <w:lang w:eastAsia="zh-CN"/>
        </w:rPr>
        <w:t xml:space="preserve"> </w:t>
      </w:r>
      <w:r w:rsidRPr="004806DF">
        <w:rPr>
          <w:rFonts w:ascii="PMingLiU" w:eastAsia="宋体" w:hAnsi="PMingLiU"/>
          <w:lang w:eastAsia="zh-CN"/>
        </w:rPr>
        <w:t xml:space="preserve">to </w:t>
      </w:r>
      <w:r w:rsidR="006F401B">
        <w:rPr>
          <w:rFonts w:ascii="PMingLiU" w:eastAsia="宋体" w:hAnsi="PMingLiU" w:hint="eastAsia"/>
          <w:lang w:eastAsia="zh-CN"/>
        </w:rPr>
        <w:t>r</w:t>
      </w:r>
      <w:r w:rsidRPr="004806DF">
        <w:rPr>
          <w:rFonts w:ascii="PMingLiU" w:eastAsia="宋体" w:hAnsi="PMingLiU"/>
          <w:lang w:eastAsia="zh-CN"/>
        </w:rPr>
        <w:t>educe exposure</w:t>
      </w:r>
      <w:r w:rsidRPr="004806DF">
        <w:rPr>
          <w:rFonts w:ascii="PMingLiU" w:eastAsia="宋体" w:hAnsi="PMingLiU" w:hint="eastAsia"/>
          <w:lang w:eastAsia="zh-CN"/>
        </w:rPr>
        <w:t>，</w:t>
      </w:r>
      <w:r w:rsidRPr="004806DF">
        <w:rPr>
          <w:rFonts w:ascii="PMingLiU" w:eastAsia="宋体" w:hAnsi="PMingLiU"/>
          <w:lang w:eastAsia="zh-CN"/>
        </w:rPr>
        <w:t xml:space="preserve">by closing or hedging the existing net </w:t>
      </w:r>
      <w:r w:rsidR="006F401B">
        <w:rPr>
          <w:rFonts w:ascii="PMingLiU" w:eastAsia="宋体" w:hAnsi="PMingLiU" w:hint="eastAsia"/>
          <w:lang w:eastAsia="zh-CN"/>
        </w:rPr>
        <w:t>p</w:t>
      </w:r>
      <w:r w:rsidRPr="004806DF">
        <w:rPr>
          <w:rFonts w:ascii="PMingLiU" w:eastAsia="宋体" w:hAnsi="PMingLiU"/>
          <w:lang w:eastAsia="zh-CN"/>
        </w:rPr>
        <w:t>ositions. Despite the</w:t>
      </w:r>
      <w:r w:rsidR="006F401B">
        <w:rPr>
          <w:rFonts w:ascii="PMingLiU" w:eastAsia="宋体" w:hAnsi="PMingLiU" w:hint="eastAsia"/>
          <w:lang w:eastAsia="zh-CN"/>
        </w:rPr>
        <w:t xml:space="preserve"> </w:t>
      </w:r>
      <w:r w:rsidRPr="004806DF">
        <w:rPr>
          <w:rFonts w:ascii="PMingLiU" w:eastAsia="宋体" w:hAnsi="PMingLiU"/>
          <w:lang w:eastAsia="zh-CN"/>
        </w:rPr>
        <w:t xml:space="preserve">margin call level being reached, the positions will not be closed </w:t>
      </w:r>
      <w:r w:rsidR="00354025" w:rsidRPr="004806DF">
        <w:rPr>
          <w:rFonts w:ascii="PMingLiU" w:eastAsia="宋体" w:hAnsi="PMingLiU"/>
          <w:lang w:eastAsia="zh-CN"/>
        </w:rPr>
        <w:t>automatically</w:t>
      </w:r>
      <w:r w:rsidRPr="004806DF">
        <w:rPr>
          <w:rFonts w:ascii="PMingLiU" w:eastAsia="宋体" w:hAnsi="PMingLiU"/>
          <w:lang w:eastAsia="zh-CN"/>
        </w:rPr>
        <w:t xml:space="preserve">. </w:t>
      </w:r>
      <w:r w:rsidR="00A91B87">
        <w:rPr>
          <w:rFonts w:ascii="PMingLiU" w:eastAsia="宋体" w:hAnsi="PMingLiU" w:hint="eastAsia"/>
          <w:lang w:eastAsia="zh-CN"/>
        </w:rPr>
        <w:t>Th</w:t>
      </w:r>
      <w:r w:rsidRPr="004806DF">
        <w:rPr>
          <w:rFonts w:ascii="PMingLiU" w:eastAsia="宋体" w:hAnsi="PMingLiU"/>
          <w:lang w:eastAsia="zh-CN"/>
        </w:rPr>
        <w:t>e</w:t>
      </w:r>
      <w:r w:rsidR="00A91B87">
        <w:rPr>
          <w:rFonts w:ascii="PMingLiU" w:eastAsia="宋体" w:hAnsi="PMingLiU" w:hint="eastAsia"/>
          <w:lang w:eastAsia="zh-CN"/>
        </w:rPr>
        <w:t xml:space="preserve"> </w:t>
      </w:r>
      <w:r w:rsidRPr="004806DF">
        <w:rPr>
          <w:rFonts w:ascii="PMingLiU" w:eastAsia="宋体" w:hAnsi="PMingLiU"/>
          <w:lang w:eastAsia="zh-CN"/>
        </w:rPr>
        <w:t xml:space="preserve">automated system will not execute all placed bid/offer orders that </w:t>
      </w:r>
      <w:r w:rsidR="00A91B87" w:rsidRPr="004806DF">
        <w:rPr>
          <w:rFonts w:ascii="PMingLiU" w:eastAsia="宋体" w:hAnsi="PMingLiU"/>
          <w:lang w:eastAsia="zh-CN"/>
        </w:rPr>
        <w:t>can increase</w:t>
      </w:r>
      <w:r w:rsidRPr="004806DF">
        <w:rPr>
          <w:rFonts w:ascii="PMingLiU" w:eastAsia="宋体" w:hAnsi="PMingLiU"/>
          <w:lang w:eastAsia="zh-CN"/>
        </w:rPr>
        <w:t xml:space="preserve"> </w:t>
      </w:r>
      <w:proofErr w:type="gramStart"/>
      <w:r w:rsidRPr="004806DF">
        <w:rPr>
          <w:rFonts w:ascii="PMingLiU" w:eastAsia="宋体" w:hAnsi="PMingLiU"/>
          <w:lang w:eastAsia="zh-CN"/>
        </w:rPr>
        <w:t>the exposure</w:t>
      </w:r>
      <w:proofErr w:type="gramEnd"/>
      <w:r w:rsidRPr="004806DF">
        <w:rPr>
          <w:rFonts w:ascii="PMingLiU" w:eastAsia="宋体" w:hAnsi="PMingLiU"/>
          <w:lang w:eastAsia="zh-CN"/>
        </w:rPr>
        <w:t>.</w:t>
      </w:r>
    </w:p>
    <w:p w14:paraId="43659918" w14:textId="77777777" w:rsidR="008C7E5F" w:rsidRDefault="008C7E5F" w:rsidP="00431566">
      <w:pPr>
        <w:pStyle w:val="a3"/>
        <w:spacing w:before="200" w:line="360" w:lineRule="auto"/>
        <w:rPr>
          <w:rFonts w:ascii="PMingLiU" w:eastAsia="宋体" w:hAnsi="PMingLiU" w:hint="eastAsia"/>
          <w:lang w:eastAsia="zh-CN"/>
        </w:rPr>
      </w:pPr>
    </w:p>
    <w:p w14:paraId="5E28AD8E" w14:textId="53B736E7" w:rsidR="004B2F54" w:rsidRPr="004B2F54" w:rsidRDefault="008C7E5F" w:rsidP="004B2F54">
      <w:pPr>
        <w:pStyle w:val="a3"/>
        <w:spacing w:before="200" w:line="360" w:lineRule="auto"/>
        <w:rPr>
          <w:rFonts w:ascii="PMingLiU" w:eastAsia="宋体" w:hAnsi="PMingLiU" w:hint="eastAsia"/>
          <w:b/>
          <w:bCs/>
          <w:lang w:eastAsia="zh-CN"/>
        </w:rPr>
      </w:pPr>
      <w:r w:rsidRPr="008C7E5F">
        <w:rPr>
          <w:rFonts w:ascii="PMingLiU" w:eastAsia="宋体" w:hAnsi="PMingLiU"/>
          <w:b/>
          <w:bCs/>
          <w:lang w:eastAsia="zh-CN"/>
        </w:rPr>
        <w:t>Risk Disclosure</w:t>
      </w:r>
    </w:p>
    <w:p w14:paraId="746E6E5E" w14:textId="6699FBDF" w:rsidR="00F631FD" w:rsidRDefault="004B2F54" w:rsidP="004B2F54">
      <w:pPr>
        <w:pStyle w:val="a3"/>
        <w:spacing w:before="200" w:line="360" w:lineRule="auto"/>
        <w:rPr>
          <w:rFonts w:ascii="PMingLiU" w:eastAsia="宋体" w:hAnsi="PMingLiU" w:hint="eastAsia"/>
          <w:lang w:eastAsia="zh-CN"/>
        </w:rPr>
      </w:pPr>
      <w:r w:rsidRPr="004B2F54">
        <w:rPr>
          <w:rFonts w:ascii="PMingLiU" w:eastAsia="宋体" w:hAnsi="PMingLiU"/>
          <w:lang w:eastAsia="zh-CN"/>
        </w:rPr>
        <w:t xml:space="preserve">Trading on margin </w:t>
      </w:r>
      <w:r w:rsidR="00CA3448" w:rsidRPr="004B2F54">
        <w:rPr>
          <w:rFonts w:ascii="PMingLiU" w:eastAsia="宋体" w:hAnsi="PMingLiU"/>
          <w:lang w:eastAsia="zh-CN"/>
        </w:rPr>
        <w:t>carries</w:t>
      </w:r>
      <w:r w:rsidRPr="004B2F54">
        <w:rPr>
          <w:rFonts w:ascii="PMingLiU" w:eastAsia="宋体" w:hAnsi="PMingLiU"/>
          <w:lang w:eastAsia="zh-CN"/>
        </w:rPr>
        <w:t xml:space="preserve"> a</w:t>
      </w:r>
      <w:r w:rsidR="007905D9">
        <w:rPr>
          <w:rFonts w:ascii="PMingLiU" w:eastAsia="宋体" w:hAnsi="PMingLiU" w:hint="eastAsia"/>
          <w:lang w:eastAsia="zh-CN"/>
        </w:rPr>
        <w:t xml:space="preserve"> </w:t>
      </w:r>
      <w:r w:rsidRPr="004B2F54">
        <w:rPr>
          <w:rFonts w:ascii="PMingLiU" w:eastAsia="宋体" w:hAnsi="PMingLiU"/>
          <w:lang w:eastAsia="zh-CN"/>
        </w:rPr>
        <w:t xml:space="preserve">high level of </w:t>
      </w:r>
      <w:proofErr w:type="gramStart"/>
      <w:r w:rsidRPr="004B2F54">
        <w:rPr>
          <w:rFonts w:ascii="PMingLiU" w:eastAsia="宋体" w:hAnsi="PMingLiU"/>
          <w:lang w:eastAsia="zh-CN"/>
        </w:rPr>
        <w:t>risk</w:t>
      </w:r>
      <w:r w:rsidR="007905D9">
        <w:rPr>
          <w:rFonts w:ascii="PMingLiU" w:eastAsia="宋体" w:hAnsi="PMingLiU" w:hint="eastAsia"/>
          <w:lang w:eastAsia="zh-CN"/>
        </w:rPr>
        <w:t xml:space="preserve"> </w:t>
      </w:r>
      <w:r w:rsidRPr="004B2F54">
        <w:rPr>
          <w:rFonts w:ascii="PMingLiU" w:eastAsia="宋体" w:hAnsi="PMingLiU"/>
          <w:lang w:eastAsia="zh-CN"/>
        </w:rPr>
        <w:t>,</w:t>
      </w:r>
      <w:proofErr w:type="gramEnd"/>
      <w:r w:rsidRPr="004B2F54">
        <w:rPr>
          <w:rFonts w:ascii="PMingLiU" w:eastAsia="宋体" w:hAnsi="PMingLiU"/>
          <w:lang w:eastAsia="zh-CN"/>
        </w:rPr>
        <w:t xml:space="preserve"> and may not be suitable for all investors. It is highly </w:t>
      </w:r>
      <w:r w:rsidR="00CA3448" w:rsidRPr="004B2F54">
        <w:rPr>
          <w:rFonts w:ascii="PMingLiU" w:eastAsia="宋体" w:hAnsi="PMingLiU"/>
          <w:lang w:eastAsia="zh-CN"/>
        </w:rPr>
        <w:t>recommended</w:t>
      </w:r>
      <w:r w:rsidRPr="004B2F54">
        <w:rPr>
          <w:rFonts w:ascii="PMingLiU" w:eastAsia="宋体" w:hAnsi="PMingLiU"/>
          <w:lang w:eastAsia="zh-CN"/>
        </w:rPr>
        <w:t xml:space="preserve"> to maintain the Use of Leverage at normal levels. The client must always keep in mind </w:t>
      </w:r>
      <w:r w:rsidR="00937925">
        <w:rPr>
          <w:rFonts w:ascii="PMingLiU" w:eastAsia="宋体" w:hAnsi="PMingLiU" w:hint="eastAsia"/>
          <w:lang w:eastAsia="zh-CN"/>
        </w:rPr>
        <w:t>t</w:t>
      </w:r>
      <w:r w:rsidRPr="004B2F54">
        <w:rPr>
          <w:rFonts w:ascii="PMingLiU" w:eastAsia="宋体" w:hAnsi="PMingLiU"/>
          <w:lang w:eastAsia="zh-CN"/>
        </w:rPr>
        <w:t xml:space="preserve">hat leverage increases potential 1oss, as well as </w:t>
      </w:r>
      <w:r w:rsidR="00B132C2">
        <w:rPr>
          <w:rFonts w:ascii="PMingLiU" w:eastAsia="宋体" w:hAnsi="PMingLiU" w:hint="eastAsia"/>
          <w:lang w:eastAsia="zh-CN"/>
        </w:rPr>
        <w:t>p</w:t>
      </w:r>
      <w:r w:rsidRPr="004B2F54">
        <w:rPr>
          <w:rFonts w:ascii="PMingLiU" w:eastAsia="宋体" w:hAnsi="PMingLiU"/>
          <w:lang w:eastAsia="zh-CN"/>
        </w:rPr>
        <w:t xml:space="preserve">otential </w:t>
      </w:r>
      <w:r w:rsidR="00B132C2" w:rsidRPr="004B2F54">
        <w:rPr>
          <w:rFonts w:ascii="PMingLiU" w:eastAsia="宋体" w:hAnsi="PMingLiU"/>
          <w:lang w:eastAsia="zh-CN"/>
        </w:rPr>
        <w:t>profit</w:t>
      </w:r>
      <w:r w:rsidRPr="004B2F54">
        <w:rPr>
          <w:rFonts w:ascii="PMingLiU" w:eastAsia="宋体" w:hAnsi="PMingLiU"/>
          <w:lang w:eastAsia="zh-CN"/>
        </w:rPr>
        <w:t xml:space="preserve"> and invested </w:t>
      </w:r>
      <w:r w:rsidR="00751747" w:rsidRPr="004B2F54">
        <w:rPr>
          <w:rFonts w:ascii="PMingLiU" w:eastAsia="宋体" w:hAnsi="PMingLiU"/>
          <w:lang w:eastAsia="zh-CN"/>
        </w:rPr>
        <w:t>funds</w:t>
      </w:r>
      <w:r w:rsidRPr="004B2F54">
        <w:rPr>
          <w:rFonts w:ascii="PMingLiU" w:eastAsia="宋体" w:hAnsi="PMingLiU"/>
          <w:lang w:eastAsia="zh-CN"/>
        </w:rPr>
        <w:t xml:space="preserve"> can quickly suffer losses in </w:t>
      </w:r>
      <w:r w:rsidR="00D56E25">
        <w:rPr>
          <w:rFonts w:ascii="PMingLiU" w:eastAsia="宋体" w:hAnsi="PMingLiU" w:hint="eastAsia"/>
          <w:lang w:eastAsia="zh-CN"/>
        </w:rPr>
        <w:t>s</w:t>
      </w:r>
      <w:r w:rsidRPr="004B2F54">
        <w:rPr>
          <w:rFonts w:ascii="PMingLiU" w:eastAsia="宋体" w:hAnsi="PMingLiU"/>
          <w:lang w:eastAsia="zh-CN"/>
        </w:rPr>
        <w:t xml:space="preserve">ituations where the market prices exhibit strong </w:t>
      </w:r>
      <w:r w:rsidR="00D56E25">
        <w:rPr>
          <w:rFonts w:ascii="PMingLiU" w:eastAsia="宋体" w:hAnsi="PMingLiU" w:hint="eastAsia"/>
          <w:lang w:eastAsia="zh-CN"/>
        </w:rPr>
        <w:t>v</w:t>
      </w:r>
      <w:r w:rsidRPr="004B2F54">
        <w:rPr>
          <w:rFonts w:ascii="PMingLiU" w:eastAsia="宋体" w:hAnsi="PMingLiU"/>
          <w:lang w:eastAsia="zh-CN"/>
        </w:rPr>
        <w:t>olatility</w:t>
      </w:r>
      <w:r w:rsidRPr="004B2F54">
        <w:rPr>
          <w:rFonts w:ascii="PMingLiU" w:eastAsia="宋体" w:hAnsi="PMingLiU" w:hint="eastAsia"/>
          <w:lang w:eastAsia="zh-CN"/>
        </w:rPr>
        <w:t>，</w:t>
      </w:r>
      <w:r w:rsidRPr="004B2F54">
        <w:rPr>
          <w:rFonts w:ascii="PMingLiU" w:eastAsia="宋体" w:hAnsi="PMingLiU"/>
          <w:lang w:eastAsia="zh-CN"/>
        </w:rPr>
        <w:t>potentially creating an adverse environment for the highly leveraged participant</w:t>
      </w:r>
      <w:r w:rsidR="00D56E25">
        <w:rPr>
          <w:rFonts w:ascii="PMingLiU" w:eastAsia="宋体" w:hAnsi="PMingLiU" w:hint="eastAsia"/>
          <w:lang w:eastAsia="zh-CN"/>
        </w:rPr>
        <w:t xml:space="preserve">. </w:t>
      </w:r>
      <w:r w:rsidRPr="004B2F54">
        <w:rPr>
          <w:rFonts w:ascii="PMingLiU" w:eastAsia="宋体" w:hAnsi="PMingLiU"/>
          <w:lang w:eastAsia="zh-CN"/>
        </w:rPr>
        <w:t>The client shall be solely responsible for maintaining sufficient margin in relation to the existing positions.</w:t>
      </w:r>
    </w:p>
    <w:p w14:paraId="5BBC4822" w14:textId="1B8D9D4A" w:rsidR="00F631FD" w:rsidRPr="00A252DB" w:rsidRDefault="00F631FD" w:rsidP="00A252DB">
      <w:pPr>
        <w:rPr>
          <w:rFonts w:ascii="PMingLiU" w:eastAsia="宋体" w:hAnsi="PMingLiU" w:hint="eastAsia"/>
          <w:lang w:eastAsia="zh-CN"/>
        </w:rPr>
      </w:pPr>
      <w:r>
        <w:rPr>
          <w:rFonts w:ascii="PMingLiU" w:eastAsia="宋体" w:hAnsi="PMingLiU" w:hint="eastAsia"/>
          <w:lang w:eastAsia="zh-CN"/>
        </w:rPr>
        <w:br w:type="page"/>
      </w:r>
    </w:p>
    <w:p w14:paraId="18CEC509" w14:textId="77777777" w:rsidR="002C5045" w:rsidRDefault="002C5045" w:rsidP="00A252D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p>
    <w:p w14:paraId="22C6EF33" w14:textId="77777777" w:rsidR="002C5045" w:rsidRDefault="002C5045" w:rsidP="00A252D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p>
    <w:p w14:paraId="4C480BDC" w14:textId="77777777" w:rsidR="002C5045" w:rsidRDefault="002C5045" w:rsidP="00A252D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p>
    <w:p w14:paraId="73F1D95C" w14:textId="77777777" w:rsidR="002C5045" w:rsidRDefault="002C5045" w:rsidP="00A252D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p>
    <w:p w14:paraId="6A5B370B" w14:textId="77777777" w:rsidR="002C5045" w:rsidRDefault="002C5045" w:rsidP="00A252D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p>
    <w:p w14:paraId="7B333680" w14:textId="77777777" w:rsidR="002C5045" w:rsidRDefault="002C5045" w:rsidP="00A252D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p>
    <w:p w14:paraId="64929639" w14:textId="485B8CBE" w:rsidR="008C7E5F" w:rsidRDefault="00F631FD" w:rsidP="00A252D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r w:rsidRPr="002C5045">
        <w:rPr>
          <w:rFonts w:ascii="微软雅黑" w:eastAsia="微软雅黑" w:hAnsi="微软雅黑" w:cs="苹方 常规"/>
          <w:color w:val="4A443E"/>
          <w:spacing w:val="1"/>
          <w:kern w:val="24"/>
          <w:sz w:val="16"/>
          <w:szCs w:val="16"/>
          <w:lang w:eastAsia="zh-CN"/>
        </w:rPr>
        <w:t xml:space="preserve">High Risk Investment Warning: CFDs are complex instruments and come with a high risk of losing money rapidly due to leverage. 68% of retail </w:t>
      </w:r>
      <w:proofErr w:type="gramStart"/>
      <w:r w:rsidRPr="002C5045">
        <w:rPr>
          <w:rFonts w:ascii="微软雅黑" w:eastAsia="微软雅黑" w:hAnsi="微软雅黑" w:cs="苹方 常规"/>
          <w:color w:val="4A443E"/>
          <w:spacing w:val="1"/>
          <w:kern w:val="24"/>
          <w:sz w:val="16"/>
          <w:szCs w:val="16"/>
          <w:lang w:eastAsia="zh-CN"/>
        </w:rPr>
        <w:t>investor accounts</w:t>
      </w:r>
      <w:proofErr w:type="gramEnd"/>
      <w:r w:rsidRPr="002C5045">
        <w:rPr>
          <w:rFonts w:ascii="微软雅黑" w:eastAsia="微软雅黑" w:hAnsi="微软雅黑" w:cs="苹方 常规"/>
          <w:color w:val="4A443E"/>
          <w:spacing w:val="1"/>
          <w:kern w:val="24"/>
          <w:sz w:val="16"/>
          <w:szCs w:val="16"/>
          <w:lang w:eastAsia="zh-CN"/>
        </w:rPr>
        <w:t xml:space="preserve"> lose money when trading CFDs with this provider. You should consider whether you understand how CFDs work and whether you can afford to take the high risk of losing your money. For more </w:t>
      </w:r>
      <w:proofErr w:type="gramStart"/>
      <w:r w:rsidRPr="002C5045">
        <w:rPr>
          <w:rFonts w:ascii="微软雅黑" w:eastAsia="微软雅黑" w:hAnsi="微软雅黑" w:cs="苹方 常规"/>
          <w:color w:val="4A443E"/>
          <w:spacing w:val="1"/>
          <w:kern w:val="24"/>
          <w:sz w:val="16"/>
          <w:szCs w:val="16"/>
          <w:lang w:eastAsia="zh-CN"/>
        </w:rPr>
        <w:t>information</w:t>
      </w:r>
      <w:proofErr w:type="gramEnd"/>
      <w:r w:rsidRPr="002C5045">
        <w:rPr>
          <w:rFonts w:ascii="微软雅黑" w:eastAsia="微软雅黑" w:hAnsi="微软雅黑" w:cs="苹方 常规"/>
          <w:color w:val="4A443E"/>
          <w:spacing w:val="1"/>
          <w:kern w:val="24"/>
          <w:sz w:val="16"/>
          <w:szCs w:val="16"/>
          <w:lang w:eastAsia="zh-CN"/>
        </w:rPr>
        <w:t xml:space="preserve"> please refer to IEXS’s Risk Disclosure.</w:t>
      </w:r>
    </w:p>
    <w:p w14:paraId="128EB23E" w14:textId="77777777" w:rsidR="002C5045" w:rsidRPr="002C5045" w:rsidRDefault="002C5045" w:rsidP="002C5045">
      <w:pPr>
        <w:spacing w:before="20" w:line="333" w:lineRule="auto"/>
        <w:ind w:right="14"/>
        <w:jc w:val="both"/>
        <w:rPr>
          <w:rFonts w:ascii="微软雅黑" w:eastAsia="微软雅黑" w:hAnsi="微软雅黑" w:cs="苹方 常规" w:hint="eastAsia"/>
          <w:color w:val="4A443E"/>
          <w:spacing w:val="1"/>
          <w:kern w:val="24"/>
          <w:sz w:val="16"/>
          <w:szCs w:val="16"/>
          <w:lang w:eastAsia="zh-CN"/>
        </w:rPr>
      </w:pPr>
    </w:p>
    <w:p w14:paraId="6C5E0939" w14:textId="77777777" w:rsidR="00F631FD" w:rsidRPr="002C5045" w:rsidRDefault="00F631FD" w:rsidP="00F631FD">
      <w:pPr>
        <w:pStyle w:val="a6"/>
        <w:numPr>
          <w:ilvl w:val="0"/>
          <w:numId w:val="4"/>
        </w:numPr>
        <w:spacing w:line="298" w:lineRule="auto"/>
        <w:rPr>
          <w:rFonts w:ascii="微软雅黑" w:eastAsia="微软雅黑" w:hAnsi="微软雅黑" w:cs="苹方 常规" w:hint="eastAsia"/>
          <w:color w:val="4A443E"/>
          <w:kern w:val="24"/>
          <w:sz w:val="16"/>
          <w:szCs w:val="16"/>
        </w:rPr>
      </w:pPr>
      <w:r w:rsidRPr="002C5045">
        <w:rPr>
          <w:rFonts w:ascii="微软雅黑" w:eastAsia="微软雅黑" w:hAnsi="微软雅黑" w:cs="苹方 常规"/>
          <w:color w:val="4A443E"/>
          <w:kern w:val="24"/>
          <w:sz w:val="16"/>
          <w:szCs w:val="16"/>
        </w:rPr>
        <w:t>VIEXS (UK) Professional Clients Only – Vision Integrated Exchange LTD is regulated by the Financial Conduct Authority (FCA) reference number 923324. Jurisdiction of incorporation at United Kingdom and the registered office address is 3 Beeston Place, London, UK, SW1W 0JJ.</w:t>
      </w:r>
    </w:p>
    <w:p w14:paraId="2CB9C35F" w14:textId="295D9553" w:rsidR="00F631FD" w:rsidRPr="002C5045" w:rsidRDefault="00F631FD" w:rsidP="00F631FD">
      <w:pPr>
        <w:pStyle w:val="a6"/>
        <w:numPr>
          <w:ilvl w:val="0"/>
          <w:numId w:val="4"/>
        </w:numPr>
        <w:spacing w:line="298" w:lineRule="auto"/>
        <w:rPr>
          <w:rFonts w:ascii="微软雅黑" w:eastAsia="微软雅黑" w:hAnsi="微软雅黑" w:cs="苹方 常规" w:hint="eastAsia"/>
          <w:color w:val="4A443E"/>
          <w:spacing w:val="-1"/>
          <w:kern w:val="24"/>
          <w:sz w:val="16"/>
          <w:szCs w:val="16"/>
        </w:rPr>
      </w:pPr>
      <w:r w:rsidRPr="002C5045">
        <w:rPr>
          <w:rFonts w:ascii="微软雅黑" w:eastAsia="微软雅黑" w:hAnsi="微软雅黑" w:cs="苹方 常规"/>
          <w:color w:val="4A443E"/>
          <w:spacing w:val="-1"/>
          <w:kern w:val="24"/>
          <w:sz w:val="16"/>
          <w:szCs w:val="16"/>
          <w:lang w:eastAsia="zh-TW"/>
        </w:rPr>
        <w:t xml:space="preserve">IEXS </w:t>
      </w:r>
      <w:r w:rsidR="00CF339B">
        <w:rPr>
          <w:rFonts w:ascii="微软雅黑" w:eastAsia="微软雅黑" w:hAnsi="微软雅黑" w:cs="苹方 常规" w:hint="eastAsia"/>
          <w:color w:val="4A443E"/>
          <w:spacing w:val="-1"/>
          <w:kern w:val="24"/>
          <w:sz w:val="16"/>
          <w:szCs w:val="16"/>
          <w:lang w:eastAsia="zh-CN"/>
        </w:rPr>
        <w:t>MARKETS</w:t>
      </w:r>
      <w:r w:rsidRPr="002C5045">
        <w:rPr>
          <w:rFonts w:ascii="微软雅黑" w:eastAsia="微软雅黑" w:hAnsi="微软雅黑" w:cs="苹方 常规"/>
          <w:color w:val="4A443E"/>
          <w:spacing w:val="-1"/>
          <w:kern w:val="24"/>
          <w:sz w:val="16"/>
          <w:szCs w:val="16"/>
          <w:lang w:eastAsia="zh-TW"/>
        </w:rPr>
        <w:t xml:space="preserve"> PTY LTD (AUS) is authori</w:t>
      </w:r>
      <w:r w:rsidRPr="002C5045">
        <w:rPr>
          <w:rFonts w:ascii="微软雅黑" w:eastAsia="微软雅黑" w:hAnsi="微软雅黑" w:cs="苹方 常规" w:hint="eastAsia"/>
          <w:color w:val="4A443E"/>
          <w:spacing w:val="-1"/>
          <w:kern w:val="24"/>
          <w:sz w:val="16"/>
          <w:szCs w:val="16"/>
          <w:lang w:eastAsia="zh-CN"/>
        </w:rPr>
        <w:t>z</w:t>
      </w:r>
      <w:r w:rsidRPr="002C5045">
        <w:rPr>
          <w:rFonts w:ascii="微软雅黑" w:eastAsia="微软雅黑" w:hAnsi="微软雅黑" w:cs="苹方 常规"/>
          <w:color w:val="4A443E"/>
          <w:spacing w:val="-1"/>
          <w:kern w:val="24"/>
          <w:sz w:val="16"/>
          <w:szCs w:val="16"/>
          <w:lang w:eastAsia="zh-TW"/>
        </w:rPr>
        <w:t xml:space="preserve">ed and regulated by Australian Securities and Investments Commission(ASIC), License Number: </w:t>
      </w:r>
      <w:r w:rsidR="00CF339B">
        <w:rPr>
          <w:rFonts w:ascii="微软雅黑" w:eastAsia="微软雅黑" w:hAnsi="微软雅黑" w:cs="苹方 常规" w:hint="eastAsia"/>
          <w:color w:val="4A443E"/>
          <w:spacing w:val="-1"/>
          <w:kern w:val="24"/>
          <w:sz w:val="16"/>
          <w:szCs w:val="16"/>
          <w:lang w:eastAsia="zh-CN"/>
        </w:rPr>
        <w:t>541328</w:t>
      </w:r>
      <w:r w:rsidRPr="002C5045">
        <w:rPr>
          <w:rFonts w:ascii="微软雅黑" w:eastAsia="微软雅黑" w:hAnsi="微软雅黑" w:cs="苹方 常规"/>
          <w:color w:val="4A443E"/>
          <w:spacing w:val="-1"/>
          <w:kern w:val="24"/>
          <w:sz w:val="16"/>
          <w:szCs w:val="16"/>
          <w:lang w:eastAsia="zh-TW"/>
        </w:rPr>
        <w:t>.</w:t>
      </w:r>
    </w:p>
    <w:p w14:paraId="1B4763BD" w14:textId="50BF56A7" w:rsidR="00F631FD" w:rsidRPr="002C5045" w:rsidRDefault="00F631FD" w:rsidP="00F631FD">
      <w:pPr>
        <w:pStyle w:val="a6"/>
        <w:numPr>
          <w:ilvl w:val="0"/>
          <w:numId w:val="4"/>
        </w:numPr>
        <w:spacing w:line="298" w:lineRule="auto"/>
        <w:rPr>
          <w:rFonts w:ascii="微软雅黑" w:eastAsia="微软雅黑" w:hAnsi="微软雅黑" w:cs="苹方 常规" w:hint="eastAsia"/>
          <w:color w:val="4A443E"/>
          <w:spacing w:val="-1"/>
          <w:kern w:val="24"/>
          <w:sz w:val="16"/>
          <w:szCs w:val="16"/>
        </w:rPr>
      </w:pPr>
      <w:r w:rsidRPr="002C5045">
        <w:rPr>
          <w:rFonts w:ascii="微软雅黑" w:eastAsia="微软雅黑" w:hAnsi="微软雅黑" w:cs="苹方 常规"/>
          <w:color w:val="4A443E"/>
          <w:spacing w:val="-1"/>
          <w:kern w:val="24"/>
          <w:sz w:val="16"/>
          <w:szCs w:val="16"/>
        </w:rPr>
        <w:t>IEXS LLC (SV) Registered office address at First St Vincent Bank Ltd Building, James Street, Kingstown, St. Vincent and the Grenadines, and the regulatory number is 282 LLC 2020.</w:t>
      </w:r>
    </w:p>
    <w:p w14:paraId="124AF197" w14:textId="77777777" w:rsidR="002C5045" w:rsidRDefault="00F631FD" w:rsidP="00A252DB">
      <w:pPr>
        <w:pStyle w:val="a6"/>
        <w:numPr>
          <w:ilvl w:val="0"/>
          <w:numId w:val="4"/>
        </w:numPr>
        <w:spacing w:line="298" w:lineRule="auto"/>
        <w:rPr>
          <w:rFonts w:ascii="微软雅黑" w:eastAsia="微软雅黑" w:hAnsi="微软雅黑" w:cs="苹方 常规" w:hint="eastAsia"/>
          <w:color w:val="4A443E"/>
          <w:spacing w:val="-1"/>
          <w:kern w:val="24"/>
          <w:sz w:val="16"/>
          <w:szCs w:val="16"/>
        </w:rPr>
      </w:pPr>
      <w:r w:rsidRPr="002C5045">
        <w:rPr>
          <w:rFonts w:ascii="微软雅黑" w:eastAsia="微软雅黑" w:hAnsi="微软雅黑" w:cs="苹方 常规"/>
          <w:color w:val="4A443E"/>
          <w:spacing w:val="-1"/>
          <w:kern w:val="24"/>
          <w:sz w:val="16"/>
          <w:szCs w:val="16"/>
        </w:rPr>
        <w:t xml:space="preserve">IEXS GROUP LTD </w:t>
      </w:r>
      <w:proofErr w:type="gramStart"/>
      <w:r w:rsidRPr="002C5045">
        <w:rPr>
          <w:rFonts w:ascii="微软雅黑" w:eastAsia="微软雅黑" w:hAnsi="微软雅黑" w:cs="苹方 常规"/>
          <w:color w:val="4A443E"/>
          <w:spacing w:val="-1"/>
          <w:kern w:val="24"/>
          <w:sz w:val="16"/>
          <w:szCs w:val="16"/>
        </w:rPr>
        <w:t>( BVI</w:t>
      </w:r>
      <w:proofErr w:type="gramEnd"/>
      <w:r w:rsidRPr="002C5045">
        <w:rPr>
          <w:rFonts w:ascii="微软雅黑" w:eastAsia="微软雅黑" w:hAnsi="微软雅黑" w:cs="苹方 常规"/>
          <w:color w:val="4A443E"/>
          <w:spacing w:val="-1"/>
          <w:kern w:val="24"/>
          <w:sz w:val="16"/>
          <w:szCs w:val="16"/>
        </w:rPr>
        <w:t xml:space="preserve"> ) According to BVI Business Companies </w:t>
      </w:r>
      <w:proofErr w:type="gramStart"/>
      <w:r w:rsidRPr="002C5045">
        <w:rPr>
          <w:rFonts w:ascii="微软雅黑" w:eastAsia="微软雅黑" w:hAnsi="微软雅黑" w:cs="苹方 常规"/>
          <w:color w:val="4A443E"/>
          <w:spacing w:val="-1"/>
          <w:kern w:val="24"/>
          <w:sz w:val="16"/>
          <w:szCs w:val="16"/>
        </w:rPr>
        <w:t>Act ,</w:t>
      </w:r>
      <w:proofErr w:type="gramEnd"/>
      <w:r w:rsidRPr="002C5045">
        <w:rPr>
          <w:rFonts w:ascii="微软雅黑" w:eastAsia="微软雅黑" w:hAnsi="微软雅黑" w:cs="苹方 常规"/>
          <w:color w:val="4A443E"/>
          <w:spacing w:val="-1"/>
          <w:kern w:val="24"/>
          <w:sz w:val="16"/>
          <w:szCs w:val="16"/>
        </w:rPr>
        <w:t xml:space="preserve"> </w:t>
      </w:r>
      <w:proofErr w:type="spellStart"/>
      <w:r w:rsidRPr="002C5045">
        <w:rPr>
          <w:rFonts w:ascii="微软雅黑" w:eastAsia="微软雅黑" w:hAnsi="微软雅黑" w:cs="苹方 常规"/>
          <w:color w:val="4A443E"/>
          <w:spacing w:val="-1"/>
          <w:kern w:val="24"/>
          <w:sz w:val="16"/>
          <w:szCs w:val="16"/>
        </w:rPr>
        <w:t>Intershore</w:t>
      </w:r>
      <w:proofErr w:type="spellEnd"/>
      <w:r w:rsidRPr="002C5045">
        <w:rPr>
          <w:rFonts w:ascii="微软雅黑" w:eastAsia="微软雅黑" w:hAnsi="微软雅黑" w:cs="苹方 常规"/>
          <w:color w:val="4A443E"/>
          <w:spacing w:val="-1"/>
          <w:kern w:val="24"/>
          <w:sz w:val="16"/>
          <w:szCs w:val="16"/>
        </w:rPr>
        <w:t xml:space="preserve"> Chambers, </w:t>
      </w:r>
      <w:proofErr w:type="gramStart"/>
      <w:r w:rsidRPr="002C5045">
        <w:rPr>
          <w:rFonts w:ascii="微软雅黑" w:eastAsia="微软雅黑" w:hAnsi="微软雅黑" w:cs="苹方 常规"/>
          <w:color w:val="4A443E"/>
          <w:spacing w:val="-1"/>
          <w:kern w:val="24"/>
          <w:sz w:val="16"/>
          <w:szCs w:val="16"/>
        </w:rPr>
        <w:t>Road  Town</w:t>
      </w:r>
      <w:proofErr w:type="gramEnd"/>
      <w:r w:rsidRPr="002C5045">
        <w:rPr>
          <w:rFonts w:ascii="微软雅黑" w:eastAsia="微软雅黑" w:hAnsi="微软雅黑" w:cs="苹方 常规"/>
          <w:color w:val="4A443E"/>
          <w:spacing w:val="-1"/>
          <w:kern w:val="24"/>
          <w:sz w:val="16"/>
          <w:szCs w:val="16"/>
        </w:rPr>
        <w:t>, Tortola, Bri</w:t>
      </w:r>
      <w:r w:rsidRPr="002C5045">
        <w:rPr>
          <w:rFonts w:ascii="微软雅黑" w:eastAsia="微软雅黑" w:hAnsi="微软雅黑" w:cs="苹方 常规" w:hint="eastAsia"/>
          <w:color w:val="4A443E"/>
          <w:spacing w:val="-1"/>
          <w:kern w:val="24"/>
          <w:sz w:val="16"/>
          <w:szCs w:val="16"/>
          <w:lang w:eastAsia="zh-CN"/>
        </w:rPr>
        <w:t>ti</w:t>
      </w:r>
      <w:r w:rsidRPr="002C5045">
        <w:rPr>
          <w:rFonts w:ascii="微软雅黑" w:eastAsia="微软雅黑" w:hAnsi="微软雅黑" w:cs="苹方 常规"/>
          <w:color w:val="4A443E"/>
          <w:spacing w:val="-1"/>
          <w:kern w:val="24"/>
          <w:sz w:val="16"/>
          <w:szCs w:val="16"/>
        </w:rPr>
        <w:t>sh Virgin Islands.</w:t>
      </w:r>
    </w:p>
    <w:p w14:paraId="73771238" w14:textId="3791972C" w:rsidR="00F631FD" w:rsidRDefault="002C5045" w:rsidP="00A252DB">
      <w:pPr>
        <w:pStyle w:val="a6"/>
        <w:numPr>
          <w:ilvl w:val="0"/>
          <w:numId w:val="4"/>
        </w:numPr>
        <w:spacing w:line="298" w:lineRule="auto"/>
        <w:rPr>
          <w:rFonts w:ascii="微软雅黑" w:eastAsia="微软雅黑" w:hAnsi="微软雅黑" w:cs="苹方 常规" w:hint="eastAsia"/>
          <w:color w:val="4A443E"/>
          <w:spacing w:val="-1"/>
          <w:kern w:val="24"/>
          <w:sz w:val="16"/>
          <w:szCs w:val="16"/>
        </w:rPr>
      </w:pPr>
      <w:r w:rsidRPr="002C5045">
        <w:rPr>
          <w:rFonts w:ascii="微软雅黑" w:eastAsia="微软雅黑" w:hAnsi="微软雅黑" w:cs="苹方 常规"/>
          <w:color w:val="4A443E"/>
          <w:spacing w:val="-1"/>
          <w:kern w:val="24"/>
          <w:sz w:val="16"/>
          <w:szCs w:val="16"/>
        </w:rPr>
        <w:t>IEXS GLOBAL LTD (BAH) is authorized and regulated by the Securities Commission of the Bahamas (SCB), with regulatory Number: SIA-F257.</w:t>
      </w:r>
    </w:p>
    <w:p w14:paraId="73312BA1" w14:textId="77777777" w:rsidR="002C5045" w:rsidRPr="002C5045" w:rsidRDefault="002C5045" w:rsidP="002C5045">
      <w:pPr>
        <w:pStyle w:val="a6"/>
        <w:spacing w:line="298" w:lineRule="auto"/>
        <w:ind w:left="720"/>
        <w:rPr>
          <w:rFonts w:ascii="微软雅黑" w:eastAsia="微软雅黑" w:hAnsi="微软雅黑" w:cs="苹方 常规" w:hint="eastAsia"/>
          <w:color w:val="4A443E"/>
          <w:spacing w:val="-1"/>
          <w:kern w:val="24"/>
          <w:sz w:val="16"/>
          <w:szCs w:val="16"/>
        </w:rPr>
      </w:pPr>
    </w:p>
    <w:p w14:paraId="6B25C85F" w14:textId="05D58A39" w:rsidR="00F631FD" w:rsidRPr="002C5045" w:rsidRDefault="00F631FD" w:rsidP="00A252DB">
      <w:pPr>
        <w:spacing w:line="298" w:lineRule="auto"/>
        <w:ind w:left="11" w:right="130"/>
        <w:rPr>
          <w:rFonts w:ascii="微软雅黑" w:eastAsia="微软雅黑" w:hAnsi="微软雅黑" w:cs="苹方 常规" w:hint="eastAsia"/>
          <w:color w:val="4A443E"/>
          <w:spacing w:val="1"/>
          <w:kern w:val="24"/>
          <w:sz w:val="16"/>
          <w:szCs w:val="16"/>
          <w:lang w:eastAsia="zh-CN"/>
        </w:rPr>
      </w:pPr>
      <w:r w:rsidRPr="002C5045">
        <w:rPr>
          <w:rFonts w:ascii="微软雅黑" w:eastAsia="微软雅黑" w:hAnsi="微软雅黑" w:cs="苹方 常规"/>
          <w:color w:val="4A443E"/>
          <w:spacing w:val="1"/>
          <w:kern w:val="24"/>
          <w:sz w:val="16"/>
          <w:szCs w:val="16"/>
        </w:rPr>
        <w:t>Legal: IEXS LLC is incorporated in St. Vincent &amp; the Grenadines as a Limited Liability Company with the registration number 282 LLC 2020. The objects of the Company are all subject matters not forbidden by Limited Liability Companies Act, Chapter 151 of the Revised Law of Saint Vincent and the Grenadines,2009, in particular but not exclusively all commercial, financial, lending, borrowing, trading, service activities and the participation in other enterprises as well as to provide brokerage, training and managed account services in currencies, commodities, indexes, CFDs and leveraged financial instruments.</w:t>
      </w:r>
    </w:p>
    <w:p w14:paraId="09E8C96E" w14:textId="77777777" w:rsidR="002C5045" w:rsidRDefault="002C5045" w:rsidP="00A252DB">
      <w:pPr>
        <w:spacing w:line="298" w:lineRule="auto"/>
        <w:ind w:left="11" w:right="130"/>
        <w:jc w:val="both"/>
        <w:rPr>
          <w:rFonts w:ascii="微软雅黑" w:eastAsia="微软雅黑" w:hAnsi="微软雅黑" w:cs="苹方 常规" w:hint="eastAsia"/>
          <w:color w:val="4A443E"/>
          <w:spacing w:val="1"/>
          <w:kern w:val="24"/>
          <w:sz w:val="16"/>
          <w:szCs w:val="16"/>
        </w:rPr>
      </w:pPr>
    </w:p>
    <w:p w14:paraId="3B63FC5F" w14:textId="56A16D3E" w:rsidR="00F631FD" w:rsidRDefault="00F631FD" w:rsidP="00A252DB">
      <w:pPr>
        <w:spacing w:line="298" w:lineRule="auto"/>
        <w:ind w:left="11" w:right="130"/>
        <w:jc w:val="both"/>
        <w:rPr>
          <w:rFonts w:ascii="微软雅黑" w:eastAsia="微软雅黑" w:hAnsi="微软雅黑" w:cs="苹方 常规" w:hint="eastAsia"/>
          <w:color w:val="4A443E"/>
          <w:spacing w:val="1"/>
          <w:kern w:val="24"/>
          <w:sz w:val="16"/>
          <w:szCs w:val="16"/>
        </w:rPr>
      </w:pPr>
      <w:r w:rsidRPr="002C5045">
        <w:rPr>
          <w:rFonts w:ascii="微软雅黑" w:eastAsia="微软雅黑" w:hAnsi="微软雅黑" w:cs="苹方 常规"/>
          <w:color w:val="4A443E"/>
          <w:spacing w:val="1"/>
          <w:kern w:val="24"/>
          <w:sz w:val="16"/>
          <w:szCs w:val="16"/>
        </w:rPr>
        <w:t>Disclaimer: The content of this page is for information purposes only and it is not intended as a recommendation or advice. Any indication of past performance or simulated past performance included in advertisements published by IEXS is not a reliable indicator of future results. The customer carries the sole responsibility for all the businesses or investments that are carried out at IEXS.</w:t>
      </w:r>
    </w:p>
    <w:p w14:paraId="650A7C4A" w14:textId="77777777" w:rsidR="002C5045" w:rsidRPr="002C5045" w:rsidRDefault="002C5045" w:rsidP="00A252DB">
      <w:pPr>
        <w:spacing w:line="298" w:lineRule="auto"/>
        <w:ind w:left="11" w:right="130"/>
        <w:jc w:val="both"/>
        <w:rPr>
          <w:rFonts w:ascii="微软雅黑" w:eastAsia="微软雅黑" w:hAnsi="微软雅黑" w:cs="苹方 常规" w:hint="eastAsia"/>
          <w:color w:val="4A443E"/>
          <w:spacing w:val="1"/>
          <w:kern w:val="24"/>
          <w:sz w:val="16"/>
          <w:szCs w:val="16"/>
          <w:lang w:eastAsia="zh-CN"/>
        </w:rPr>
      </w:pPr>
    </w:p>
    <w:p w14:paraId="316E3B11" w14:textId="6456398B" w:rsidR="00F631FD" w:rsidRPr="002C5045" w:rsidRDefault="00F631FD" w:rsidP="00F631FD">
      <w:pPr>
        <w:spacing w:line="298" w:lineRule="auto"/>
        <w:ind w:left="11" w:right="130"/>
        <w:jc w:val="both"/>
        <w:rPr>
          <w:rFonts w:ascii="微软雅黑" w:eastAsia="微软雅黑" w:hAnsi="微软雅黑" w:cs="苹方 常规" w:hint="eastAsia"/>
          <w:color w:val="4A443E"/>
          <w:spacing w:val="1"/>
          <w:kern w:val="24"/>
          <w:sz w:val="16"/>
          <w:szCs w:val="16"/>
        </w:rPr>
      </w:pPr>
      <w:r w:rsidRPr="002C5045">
        <w:rPr>
          <w:rFonts w:ascii="微软雅黑" w:eastAsia="微软雅黑" w:hAnsi="微软雅黑" w:cs="苹方 常规"/>
          <w:color w:val="4A443E"/>
          <w:spacing w:val="1"/>
          <w:kern w:val="24"/>
          <w:sz w:val="16"/>
          <w:szCs w:val="16"/>
        </w:rPr>
        <w:t>IEXS LLC does not provide services to residents of the United States,</w:t>
      </w:r>
      <w:r w:rsidR="00FD2FE7">
        <w:rPr>
          <w:rFonts w:ascii="微软雅黑" w:eastAsia="微软雅黑" w:hAnsi="微软雅黑" w:cs="苹方 常规" w:hint="eastAsia"/>
          <w:color w:val="4A443E"/>
          <w:spacing w:val="1"/>
          <w:kern w:val="24"/>
          <w:sz w:val="16"/>
          <w:szCs w:val="16"/>
          <w:lang w:eastAsia="zh-CN"/>
        </w:rPr>
        <w:t xml:space="preserve"> </w:t>
      </w:r>
      <w:r w:rsidRPr="002C5045">
        <w:rPr>
          <w:rFonts w:ascii="微软雅黑" w:eastAsia="微软雅黑" w:hAnsi="微软雅黑" w:cs="苹方 常规"/>
          <w:color w:val="4A443E"/>
          <w:spacing w:val="1"/>
          <w:kern w:val="24"/>
          <w:sz w:val="16"/>
          <w:szCs w:val="16"/>
        </w:rPr>
        <w:t>Iran, North Korea, Cuba, Iraq, Syria, Taiwan China and Canada. The information on this site is not directed at residents in any country or jurisdiction where such distribution or use would be contrary to local law or regulation.</w:t>
      </w:r>
    </w:p>
    <w:sectPr w:rsidR="00F631FD" w:rsidRPr="002C5045">
      <w:headerReference w:type="default" r:id="rId8"/>
      <w:footerReference w:type="default" r:id="rId9"/>
      <w:type w:val="continuous"/>
      <w:pgSz w:w="11920" w:h="16850"/>
      <w:pgMar w:top="2000" w:right="992" w:bottom="1080" w:left="992" w:header="521" w:footer="8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972DD" w14:textId="77777777" w:rsidR="00AB319E" w:rsidRDefault="00AB319E">
      <w:r>
        <w:separator/>
      </w:r>
    </w:p>
  </w:endnote>
  <w:endnote w:type="continuationSeparator" w:id="0">
    <w:p w14:paraId="635E0A95" w14:textId="77777777" w:rsidR="00AB319E" w:rsidRDefault="00AB3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微软雅黑">
    <w:altName w:val="Microsoft YaHei"/>
    <w:panose1 w:val="020B0503020204020204"/>
    <w:charset w:val="86"/>
    <w:family w:val="swiss"/>
    <w:pitch w:val="variable"/>
    <w:sig w:usb0="80000287" w:usb1="2ACF3C50" w:usb2="00000016" w:usb3="00000000" w:csb0="0004001F" w:csb1="00000000"/>
  </w:font>
  <w:font w:name="微软雅黑 Light">
    <w:altName w:val="Microsoft YaHei Light"/>
    <w:panose1 w:val="020B0502040204020203"/>
    <w:charset w:val="86"/>
    <w:family w:val="swiss"/>
    <w:pitch w:val="variable"/>
    <w:sig w:usb0="80000287" w:usb1="2ACF0010" w:usb2="00000016" w:usb3="00000000" w:csb0="0004001F" w:csb1="00000000"/>
  </w:font>
  <w:font w:name="苹方 常规">
    <w:altName w:val="微软雅黑"/>
    <w:charset w:val="86"/>
    <w:family w:val="swiss"/>
    <w:pitch w:val="variable"/>
    <w:sig w:usb0="A00002FF" w:usb1="7ACFFCFB"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9CBD" w14:textId="2F198002" w:rsidR="00583AA8" w:rsidRDefault="0079781B">
    <w:pPr>
      <w:pStyle w:val="a3"/>
      <w:spacing w:before="0" w:line="14" w:lineRule="auto"/>
      <w:ind w:left="0"/>
      <w:jc w:val="left"/>
      <w:rPr>
        <w:sz w:val="20"/>
      </w:rPr>
    </w:pPr>
    <w:r>
      <w:rPr>
        <w:noProof/>
        <w:sz w:val="20"/>
      </w:rPr>
      <mc:AlternateContent>
        <mc:Choice Requires="wps">
          <w:drawing>
            <wp:anchor distT="0" distB="0" distL="0" distR="0" simplePos="0" relativeHeight="251661824" behindDoc="1" locked="0" layoutInCell="1" allowOverlap="1" wp14:anchorId="1F149DAC" wp14:editId="394D8DCE">
              <wp:simplePos x="0" y="0"/>
              <wp:positionH relativeFrom="page">
                <wp:posOffset>723899</wp:posOffset>
              </wp:positionH>
              <wp:positionV relativeFrom="page">
                <wp:posOffset>10010775</wp:posOffset>
              </wp:positionV>
              <wp:extent cx="2581275" cy="1714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1275" cy="171450"/>
                      </a:xfrm>
                      <a:prstGeom prst="rect">
                        <a:avLst/>
                      </a:prstGeom>
                    </wps:spPr>
                    <wps:txbx>
                      <w:txbxContent>
                        <w:p w14:paraId="7F7CCF07" w14:textId="0584FD32" w:rsidR="00583AA8" w:rsidRPr="00B14DB9" w:rsidRDefault="0079781B">
                          <w:pPr>
                            <w:spacing w:line="223" w:lineRule="exact"/>
                            <w:ind w:left="20"/>
                            <w:rPr>
                              <w:rFonts w:ascii="Calibri" w:eastAsiaTheme="minorEastAsia"/>
                              <w:sz w:val="20"/>
                              <w:lang w:eastAsia="zh-CN"/>
                            </w:rPr>
                          </w:pPr>
                          <w:r w:rsidRPr="0079781B">
                            <w:rPr>
                              <w:rFonts w:ascii="Calibri" w:eastAsiaTheme="minorEastAsia"/>
                              <w:color w:val="FF0000"/>
                              <w:sz w:val="20"/>
                              <w:lang w:eastAsia="zh-CN"/>
                            </w:rPr>
                            <w:t>Account Leverage statement</w:t>
                          </w:r>
                          <w:r w:rsidR="00CA2F5C">
                            <w:rPr>
                              <w:rFonts w:ascii="Calibri"/>
                              <w:color w:val="FF0000"/>
                              <w:spacing w:val="-5"/>
                              <w:sz w:val="20"/>
                            </w:rPr>
                            <w:t xml:space="preserve"> </w:t>
                          </w:r>
                          <w:r w:rsidR="00CA2F5C">
                            <w:rPr>
                              <w:rFonts w:ascii="Calibri"/>
                              <w:color w:val="808080"/>
                              <w:sz w:val="20"/>
                            </w:rPr>
                            <w:t>|</w:t>
                          </w:r>
                          <w:r w:rsidR="00CA2F5C">
                            <w:rPr>
                              <w:rFonts w:ascii="Calibri"/>
                              <w:color w:val="808080"/>
                              <w:spacing w:val="-7"/>
                              <w:sz w:val="20"/>
                            </w:rPr>
                            <w:t xml:space="preserve"> </w:t>
                          </w:r>
                          <w:r w:rsidR="00CA2F5C" w:rsidRPr="006C6E29">
                            <w:rPr>
                              <w:rFonts w:ascii="Calibri"/>
                              <w:spacing w:val="-2"/>
                              <w:sz w:val="20"/>
                            </w:rPr>
                            <w:t>WWW.IEXS.</w:t>
                          </w:r>
                          <w:r w:rsidR="00CA2F5C" w:rsidRPr="006C6E29">
                            <w:rPr>
                              <w:rFonts w:ascii="Calibri" w:eastAsiaTheme="minorEastAsia" w:hint="eastAsia"/>
                              <w:spacing w:val="-2"/>
                              <w:sz w:val="20"/>
                              <w:lang w:eastAsia="zh-CN"/>
                            </w:rPr>
                            <w:t>ASIA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F149DAC" id="_x0000_t202" coordsize="21600,21600" o:spt="202" path="m,l,21600r21600,l21600,xe">
              <v:stroke joinstyle="miter"/>
              <v:path gradientshapeok="t" o:connecttype="rect"/>
            </v:shapetype>
            <v:shape id="Textbox 4" o:spid="_x0000_s1027" type="#_x0000_t202" style="position:absolute;margin-left:57pt;margin-top:788.25pt;width:203.25pt;height:13.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" filled="f" stroked="f">
              <v:textbox inset="0,0,0,0">
                <w:txbxContent>
                  <w:p w14:paraId="7F7CCF07" w14:textId="0584FD32" w:rsidR="00583AA8" w:rsidRPr="00B14DB9" w:rsidRDefault="0079781B">
                    <w:pPr>
                      <w:spacing w:line="223" w:lineRule="exact"/>
                      <w:ind w:left="20"/>
                      <w:rPr>
                        <w:rFonts w:ascii="Calibri" w:eastAsiaTheme="minorEastAsia"/>
                        <w:sz w:val="20"/>
                        <w:lang w:eastAsia="zh-CN"/>
                      </w:rPr>
                    </w:pPr>
                    <w:r w:rsidRPr="0079781B">
                      <w:rPr>
                        <w:rFonts w:ascii="Calibri" w:eastAsiaTheme="minorEastAsia"/>
                        <w:color w:val="FF0000"/>
                        <w:sz w:val="20"/>
                        <w:lang w:eastAsia="zh-CN"/>
                      </w:rPr>
                      <w:t>Account Leverage statement</w:t>
                    </w:r>
                    <w:r w:rsidR="00CA2F5C">
                      <w:rPr>
                        <w:rFonts w:ascii="Calibri"/>
                        <w:color w:val="FF0000"/>
                        <w:spacing w:val="-5"/>
                        <w:sz w:val="20"/>
                      </w:rPr>
                      <w:t xml:space="preserve"> </w:t>
                    </w:r>
                    <w:r w:rsidR="00CA2F5C">
                      <w:rPr>
                        <w:rFonts w:ascii="Calibri"/>
                        <w:color w:val="808080"/>
                        <w:sz w:val="20"/>
                      </w:rPr>
                      <w:t>|</w:t>
                    </w:r>
                    <w:r w:rsidR="00CA2F5C">
                      <w:rPr>
                        <w:rFonts w:ascii="Calibri"/>
                        <w:color w:val="808080"/>
                        <w:spacing w:val="-7"/>
                        <w:sz w:val="20"/>
                      </w:rPr>
                      <w:t xml:space="preserve"> </w:t>
                    </w:r>
                    <w:r w:rsidR="00CA2F5C" w:rsidRPr="006C6E29">
                      <w:rPr>
                        <w:rFonts w:ascii="Calibri"/>
                        <w:spacing w:val="-2"/>
                        <w:sz w:val="20"/>
                      </w:rPr>
                      <w:t>WWW.IEXS.</w:t>
                    </w:r>
                    <w:r w:rsidR="00CA2F5C" w:rsidRPr="006C6E29">
                      <w:rPr>
                        <w:rFonts w:ascii="Calibri" w:eastAsiaTheme="minorEastAsia" w:hint="eastAsia"/>
                        <w:spacing w:val="-2"/>
                        <w:sz w:val="20"/>
                        <w:lang w:eastAsia="zh-CN"/>
                      </w:rPr>
                      <w:t>ASIA</w:t>
                    </w:r>
                  </w:p>
                </w:txbxContent>
              </v:textbox>
              <w10:wrap anchorx="page" anchory="page"/>
            </v:shape>
          </w:pict>
        </mc:Fallback>
      </mc:AlternateContent>
    </w:r>
    <w:r w:rsidR="0034425F">
      <w:rPr>
        <w:noProof/>
        <w:sz w:val="20"/>
      </w:rPr>
      <mc:AlternateContent>
        <mc:Choice Requires="wps">
          <w:drawing>
            <wp:anchor distT="0" distB="0" distL="0" distR="0" simplePos="0" relativeHeight="251659776" behindDoc="1" locked="0" layoutInCell="1" allowOverlap="1" wp14:anchorId="578AC5FA" wp14:editId="6CDB883F">
              <wp:simplePos x="0" y="0"/>
              <wp:positionH relativeFrom="page">
                <wp:posOffset>6702043</wp:posOffset>
              </wp:positionH>
              <wp:positionV relativeFrom="page">
                <wp:posOffset>9990835</wp:posOffset>
              </wp:positionV>
              <wp:extent cx="965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3BB0B9A9" w14:textId="147DF3A9" w:rsidR="00583AA8" w:rsidRPr="005E39C1" w:rsidRDefault="00583AA8">
                          <w:pPr>
                            <w:pStyle w:val="a3"/>
                            <w:spacing w:before="0" w:line="245" w:lineRule="exact"/>
                            <w:ind w:left="20"/>
                            <w:jc w:val="left"/>
                            <w:rPr>
                              <w:rFonts w:ascii="Calibri" w:eastAsiaTheme="minorEastAsia"/>
                              <w:lang w:eastAsia="zh-CN"/>
                            </w:rPr>
                          </w:pPr>
                        </w:p>
                      </w:txbxContent>
                    </wps:txbx>
                    <wps:bodyPr wrap="square" lIns="0" tIns="0" rIns="0" bIns="0" rtlCol="0">
                      <a:noAutofit/>
                    </wps:bodyPr>
                  </wps:wsp>
                </a:graphicData>
              </a:graphic>
            </wp:anchor>
          </w:drawing>
        </mc:Choice>
        <mc:Fallback>
          <w:pict>
            <v:shape w14:anchorId="578AC5FA" id="Textbox 3" o:spid="_x0000_s1028" type="#_x0000_t202" style="position:absolute;margin-left:527.7pt;margin-top:786.7pt;width:7.6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" filled="f" stroked="f">
              <v:textbox inset="0,0,0,0">
                <w:txbxContent>
                  <w:p w14:paraId="3BB0B9A9" w14:textId="147DF3A9" w:rsidR="00583AA8" w:rsidRPr="005E39C1" w:rsidRDefault="00583AA8">
                    <w:pPr>
                      <w:pStyle w:val="a3"/>
                      <w:spacing w:before="0" w:line="245" w:lineRule="exact"/>
                      <w:ind w:left="20"/>
                      <w:jc w:val="left"/>
                      <w:rPr>
                        <w:rFonts w:ascii="Calibri" w:eastAsiaTheme="minorEastAsia"/>
                        <w:lang w:eastAsia="zh-C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2BCC0" w14:textId="77777777" w:rsidR="00AB319E" w:rsidRDefault="00AB319E">
      <w:r>
        <w:separator/>
      </w:r>
    </w:p>
  </w:footnote>
  <w:footnote w:type="continuationSeparator" w:id="0">
    <w:p w14:paraId="5AFEB9BB" w14:textId="77777777" w:rsidR="00AB319E" w:rsidRDefault="00AB3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3E2E" w14:textId="106AB267" w:rsidR="00583AA8" w:rsidRDefault="00CD61C9">
    <w:pPr>
      <w:pStyle w:val="a3"/>
      <w:spacing w:before="0" w:line="14" w:lineRule="auto"/>
      <w:ind w:left="0"/>
      <w:jc w:val="left"/>
      <w:rPr>
        <w:sz w:val="20"/>
      </w:rPr>
    </w:pPr>
    <w:r>
      <w:rPr>
        <w:noProof/>
        <w:sz w:val="20"/>
      </w:rPr>
      <mc:AlternateContent>
        <mc:Choice Requires="wps">
          <w:drawing>
            <wp:anchor distT="0" distB="0" distL="0" distR="0" simplePos="0" relativeHeight="251657728" behindDoc="1" locked="0" layoutInCell="1" allowOverlap="1" wp14:anchorId="4FE86594" wp14:editId="08C5F382">
              <wp:simplePos x="0" y="0"/>
              <wp:positionH relativeFrom="page">
                <wp:posOffset>676274</wp:posOffset>
              </wp:positionH>
              <wp:positionV relativeFrom="page">
                <wp:posOffset>781050</wp:posOffset>
              </wp:positionV>
              <wp:extent cx="2219325" cy="2628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325" cy="262890"/>
                      </a:xfrm>
                      <a:prstGeom prst="rect">
                        <a:avLst/>
                      </a:prstGeom>
                    </wps:spPr>
                    <wps:txbx>
                      <w:txbxContent>
                        <w:p w14:paraId="722869CC" w14:textId="35A0BE36" w:rsidR="00583AA8" w:rsidRDefault="00CD61C9">
                          <w:pPr>
                            <w:spacing w:before="21"/>
                            <w:ind w:left="20"/>
                            <w:rPr>
                              <w:sz w:val="28"/>
                            </w:rPr>
                          </w:pPr>
                          <w:r w:rsidRPr="00CD61C9">
                            <w:rPr>
                              <w:rFonts w:eastAsiaTheme="minorEastAsia"/>
                              <w:sz w:val="28"/>
                              <w:lang w:eastAsia="zh-CN"/>
                            </w:rPr>
                            <w:t>Account Leverage statement</w:t>
                          </w:r>
                          <w:r w:rsidR="00B14DB9">
                            <w:rPr>
                              <w:spacing w:val="-8"/>
                              <w:sz w:val="28"/>
                            </w:rPr>
                            <w:t xml:space="preserve"> </w:t>
                          </w:r>
                          <w:r w:rsidR="00B14DB9">
                            <w:rPr>
                              <w:spacing w:val="-2"/>
                              <w:sz w:val="28"/>
                            </w:rPr>
                            <w:t>Disclosure</w:t>
                          </w:r>
                        </w:p>
                      </w:txbxContent>
                    </wps:txbx>
                    <wps:bodyPr wrap="square" lIns="0" tIns="0" rIns="0" bIns="0" rtlCol="0">
                      <a:noAutofit/>
                    </wps:bodyPr>
                  </wps:wsp>
                </a:graphicData>
              </a:graphic>
              <wp14:sizeRelH relativeFrom="margin">
                <wp14:pctWidth>0</wp14:pctWidth>
              </wp14:sizeRelH>
            </wp:anchor>
          </w:drawing>
        </mc:Choice>
        <mc:Fallback>
          <w:pict>
            <v:shapetype w14:anchorId="4FE86594" id="_x0000_t202" coordsize="21600,21600" o:spt="202" path="m,l,21600r21600,l21600,xe">
              <v:stroke joinstyle="miter"/>
              <v:path gradientshapeok="t" o:connecttype="rect"/>
            </v:shapetype>
            <v:shape id="Textbox 2" o:spid="_x0000_s1026" type="#_x0000_t202" style="position:absolute;margin-left:53.25pt;margin-top:61.5pt;width:174.75pt;height:20.7pt;z-index:-2516587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" filled="f" stroked="f">
              <v:textbox inset="0,0,0,0">
                <w:txbxContent>
                  <w:p w14:paraId="722869CC" w14:textId="35A0BE36" w:rsidR="00583AA8" w:rsidRDefault="00CD61C9">
                    <w:pPr>
                      <w:spacing w:before="21"/>
                      <w:ind w:left="20"/>
                      <w:rPr>
                        <w:sz w:val="28"/>
                      </w:rPr>
                    </w:pPr>
                    <w:r w:rsidRPr="00CD61C9">
                      <w:rPr>
                        <w:rFonts w:eastAsiaTheme="minorEastAsia"/>
                        <w:sz w:val="28"/>
                        <w:lang w:eastAsia="zh-CN"/>
                      </w:rPr>
                      <w:t>Account Leverage statement</w:t>
                    </w:r>
                    <w:r w:rsidR="00B14DB9">
                      <w:rPr>
                        <w:spacing w:val="-8"/>
                        <w:sz w:val="28"/>
                      </w:rPr>
                      <w:t xml:space="preserve"> </w:t>
                    </w:r>
                    <w:r w:rsidR="00B14DB9">
                      <w:rPr>
                        <w:spacing w:val="-2"/>
                        <w:sz w:val="28"/>
                      </w:rPr>
                      <w:t>Disclosure</w:t>
                    </w:r>
                  </w:p>
                </w:txbxContent>
              </v:textbox>
              <w10:wrap anchorx="page" anchory="page"/>
            </v:shape>
          </w:pict>
        </mc:Fallback>
      </mc:AlternateContent>
    </w:r>
    <w:r w:rsidR="0034425F">
      <w:rPr>
        <w:noProof/>
        <w:sz w:val="20"/>
      </w:rPr>
      <w:drawing>
        <wp:anchor distT="0" distB="0" distL="0" distR="0" simplePos="0" relativeHeight="251655680" behindDoc="1" locked="0" layoutInCell="1" allowOverlap="1" wp14:anchorId="4BEE36D1" wp14:editId="5E0D3162">
          <wp:simplePos x="0" y="0"/>
          <wp:positionH relativeFrom="page">
            <wp:posOffset>5236209</wp:posOffset>
          </wp:positionH>
          <wp:positionV relativeFrom="page">
            <wp:posOffset>330707</wp:posOffset>
          </wp:positionV>
          <wp:extent cx="1625599" cy="315722"/>
          <wp:effectExtent l="0" t="0" r="0" b="0"/>
          <wp:wrapNone/>
          <wp:docPr id="3153699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25599" cy="31572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012DD"/>
    <w:multiLevelType w:val="hybridMultilevel"/>
    <w:tmpl w:val="D7DCC40E"/>
    <w:lvl w:ilvl="0" w:tplc="CA48EB8A">
      <w:start w:val="1"/>
      <w:numFmt w:val="bullet"/>
      <w:lvlText w:val="●"/>
      <w:lvlJc w:val="left"/>
      <w:pPr>
        <w:tabs>
          <w:tab w:val="num" w:pos="720"/>
        </w:tabs>
        <w:ind w:left="720" w:hanging="360"/>
      </w:pPr>
      <w:rPr>
        <w:rFonts w:ascii="宋体" w:hAnsi="宋体" w:hint="default"/>
      </w:rPr>
    </w:lvl>
    <w:lvl w:ilvl="1" w:tplc="A09C12A6" w:tentative="1">
      <w:start w:val="1"/>
      <w:numFmt w:val="bullet"/>
      <w:lvlText w:val="●"/>
      <w:lvlJc w:val="left"/>
      <w:pPr>
        <w:tabs>
          <w:tab w:val="num" w:pos="1440"/>
        </w:tabs>
        <w:ind w:left="1440" w:hanging="360"/>
      </w:pPr>
      <w:rPr>
        <w:rFonts w:ascii="宋体" w:hAnsi="宋体" w:hint="default"/>
      </w:rPr>
    </w:lvl>
    <w:lvl w:ilvl="2" w:tplc="C2F27120" w:tentative="1">
      <w:start w:val="1"/>
      <w:numFmt w:val="bullet"/>
      <w:lvlText w:val="●"/>
      <w:lvlJc w:val="left"/>
      <w:pPr>
        <w:tabs>
          <w:tab w:val="num" w:pos="2160"/>
        </w:tabs>
        <w:ind w:left="2160" w:hanging="360"/>
      </w:pPr>
      <w:rPr>
        <w:rFonts w:ascii="宋体" w:hAnsi="宋体" w:hint="default"/>
      </w:rPr>
    </w:lvl>
    <w:lvl w:ilvl="3" w:tplc="7250C618" w:tentative="1">
      <w:start w:val="1"/>
      <w:numFmt w:val="bullet"/>
      <w:lvlText w:val="●"/>
      <w:lvlJc w:val="left"/>
      <w:pPr>
        <w:tabs>
          <w:tab w:val="num" w:pos="2880"/>
        </w:tabs>
        <w:ind w:left="2880" w:hanging="360"/>
      </w:pPr>
      <w:rPr>
        <w:rFonts w:ascii="宋体" w:hAnsi="宋体" w:hint="default"/>
      </w:rPr>
    </w:lvl>
    <w:lvl w:ilvl="4" w:tplc="20EA29FC" w:tentative="1">
      <w:start w:val="1"/>
      <w:numFmt w:val="bullet"/>
      <w:lvlText w:val="●"/>
      <w:lvlJc w:val="left"/>
      <w:pPr>
        <w:tabs>
          <w:tab w:val="num" w:pos="3600"/>
        </w:tabs>
        <w:ind w:left="3600" w:hanging="360"/>
      </w:pPr>
      <w:rPr>
        <w:rFonts w:ascii="宋体" w:hAnsi="宋体" w:hint="default"/>
      </w:rPr>
    </w:lvl>
    <w:lvl w:ilvl="5" w:tplc="F43C4006" w:tentative="1">
      <w:start w:val="1"/>
      <w:numFmt w:val="bullet"/>
      <w:lvlText w:val="●"/>
      <w:lvlJc w:val="left"/>
      <w:pPr>
        <w:tabs>
          <w:tab w:val="num" w:pos="4320"/>
        </w:tabs>
        <w:ind w:left="4320" w:hanging="360"/>
      </w:pPr>
      <w:rPr>
        <w:rFonts w:ascii="宋体" w:hAnsi="宋体" w:hint="default"/>
      </w:rPr>
    </w:lvl>
    <w:lvl w:ilvl="6" w:tplc="938CD5A8" w:tentative="1">
      <w:start w:val="1"/>
      <w:numFmt w:val="bullet"/>
      <w:lvlText w:val="●"/>
      <w:lvlJc w:val="left"/>
      <w:pPr>
        <w:tabs>
          <w:tab w:val="num" w:pos="5040"/>
        </w:tabs>
        <w:ind w:left="5040" w:hanging="360"/>
      </w:pPr>
      <w:rPr>
        <w:rFonts w:ascii="宋体" w:hAnsi="宋体" w:hint="default"/>
      </w:rPr>
    </w:lvl>
    <w:lvl w:ilvl="7" w:tplc="39D2827C" w:tentative="1">
      <w:start w:val="1"/>
      <w:numFmt w:val="bullet"/>
      <w:lvlText w:val="●"/>
      <w:lvlJc w:val="left"/>
      <w:pPr>
        <w:tabs>
          <w:tab w:val="num" w:pos="5760"/>
        </w:tabs>
        <w:ind w:left="5760" w:hanging="360"/>
      </w:pPr>
      <w:rPr>
        <w:rFonts w:ascii="宋体" w:hAnsi="宋体" w:hint="default"/>
      </w:rPr>
    </w:lvl>
    <w:lvl w:ilvl="8" w:tplc="66961B62"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3B4518EC"/>
    <w:multiLevelType w:val="hybridMultilevel"/>
    <w:tmpl w:val="730AAEA8"/>
    <w:lvl w:ilvl="0" w:tplc="D5AEEEA4">
      <w:start w:val="1"/>
      <w:numFmt w:val="bullet"/>
      <w:lvlText w:val="●"/>
      <w:lvlJc w:val="left"/>
      <w:pPr>
        <w:tabs>
          <w:tab w:val="num" w:pos="720"/>
        </w:tabs>
        <w:ind w:left="720" w:hanging="360"/>
      </w:pPr>
      <w:rPr>
        <w:rFonts w:ascii="宋体" w:hAnsi="宋体" w:hint="default"/>
      </w:rPr>
    </w:lvl>
    <w:lvl w:ilvl="1" w:tplc="8B663FBA" w:tentative="1">
      <w:start w:val="1"/>
      <w:numFmt w:val="bullet"/>
      <w:lvlText w:val="●"/>
      <w:lvlJc w:val="left"/>
      <w:pPr>
        <w:tabs>
          <w:tab w:val="num" w:pos="1440"/>
        </w:tabs>
        <w:ind w:left="1440" w:hanging="360"/>
      </w:pPr>
      <w:rPr>
        <w:rFonts w:ascii="宋体" w:hAnsi="宋体" w:hint="default"/>
      </w:rPr>
    </w:lvl>
    <w:lvl w:ilvl="2" w:tplc="35649758" w:tentative="1">
      <w:start w:val="1"/>
      <w:numFmt w:val="bullet"/>
      <w:lvlText w:val="●"/>
      <w:lvlJc w:val="left"/>
      <w:pPr>
        <w:tabs>
          <w:tab w:val="num" w:pos="2160"/>
        </w:tabs>
        <w:ind w:left="2160" w:hanging="360"/>
      </w:pPr>
      <w:rPr>
        <w:rFonts w:ascii="宋体" w:hAnsi="宋体" w:hint="default"/>
      </w:rPr>
    </w:lvl>
    <w:lvl w:ilvl="3" w:tplc="B3B47A46" w:tentative="1">
      <w:start w:val="1"/>
      <w:numFmt w:val="bullet"/>
      <w:lvlText w:val="●"/>
      <w:lvlJc w:val="left"/>
      <w:pPr>
        <w:tabs>
          <w:tab w:val="num" w:pos="2880"/>
        </w:tabs>
        <w:ind w:left="2880" w:hanging="360"/>
      </w:pPr>
      <w:rPr>
        <w:rFonts w:ascii="宋体" w:hAnsi="宋体" w:hint="default"/>
      </w:rPr>
    </w:lvl>
    <w:lvl w:ilvl="4" w:tplc="738430B6" w:tentative="1">
      <w:start w:val="1"/>
      <w:numFmt w:val="bullet"/>
      <w:lvlText w:val="●"/>
      <w:lvlJc w:val="left"/>
      <w:pPr>
        <w:tabs>
          <w:tab w:val="num" w:pos="3600"/>
        </w:tabs>
        <w:ind w:left="3600" w:hanging="360"/>
      </w:pPr>
      <w:rPr>
        <w:rFonts w:ascii="宋体" w:hAnsi="宋体" w:hint="default"/>
      </w:rPr>
    </w:lvl>
    <w:lvl w:ilvl="5" w:tplc="FFB208E4" w:tentative="1">
      <w:start w:val="1"/>
      <w:numFmt w:val="bullet"/>
      <w:lvlText w:val="●"/>
      <w:lvlJc w:val="left"/>
      <w:pPr>
        <w:tabs>
          <w:tab w:val="num" w:pos="4320"/>
        </w:tabs>
        <w:ind w:left="4320" w:hanging="360"/>
      </w:pPr>
      <w:rPr>
        <w:rFonts w:ascii="宋体" w:hAnsi="宋体" w:hint="default"/>
      </w:rPr>
    </w:lvl>
    <w:lvl w:ilvl="6" w:tplc="530A1898" w:tentative="1">
      <w:start w:val="1"/>
      <w:numFmt w:val="bullet"/>
      <w:lvlText w:val="●"/>
      <w:lvlJc w:val="left"/>
      <w:pPr>
        <w:tabs>
          <w:tab w:val="num" w:pos="5040"/>
        </w:tabs>
        <w:ind w:left="5040" w:hanging="360"/>
      </w:pPr>
      <w:rPr>
        <w:rFonts w:ascii="宋体" w:hAnsi="宋体" w:hint="default"/>
      </w:rPr>
    </w:lvl>
    <w:lvl w:ilvl="7" w:tplc="F4DC3090" w:tentative="1">
      <w:start w:val="1"/>
      <w:numFmt w:val="bullet"/>
      <w:lvlText w:val="●"/>
      <w:lvlJc w:val="left"/>
      <w:pPr>
        <w:tabs>
          <w:tab w:val="num" w:pos="5760"/>
        </w:tabs>
        <w:ind w:left="5760" w:hanging="360"/>
      </w:pPr>
      <w:rPr>
        <w:rFonts w:ascii="宋体" w:hAnsi="宋体" w:hint="default"/>
      </w:rPr>
    </w:lvl>
    <w:lvl w:ilvl="8" w:tplc="715C318A" w:tentative="1">
      <w:start w:val="1"/>
      <w:numFmt w:val="bullet"/>
      <w:lvlText w:val="●"/>
      <w:lvlJc w:val="left"/>
      <w:pPr>
        <w:tabs>
          <w:tab w:val="num" w:pos="6480"/>
        </w:tabs>
        <w:ind w:left="6480" w:hanging="360"/>
      </w:pPr>
      <w:rPr>
        <w:rFonts w:ascii="宋体" w:hAnsi="宋体" w:hint="default"/>
      </w:rPr>
    </w:lvl>
  </w:abstractNum>
  <w:abstractNum w:abstractNumId="2" w15:restartNumberingAfterBreak="0">
    <w:nsid w:val="4EB66B01"/>
    <w:multiLevelType w:val="hybridMultilevel"/>
    <w:tmpl w:val="C1DC97EA"/>
    <w:lvl w:ilvl="0" w:tplc="7FA8E6FC">
      <w:start w:val="1"/>
      <w:numFmt w:val="bullet"/>
      <w:lvlText w:val="●"/>
      <w:lvlJc w:val="left"/>
      <w:pPr>
        <w:tabs>
          <w:tab w:val="num" w:pos="720"/>
        </w:tabs>
        <w:ind w:left="720" w:hanging="360"/>
      </w:pPr>
      <w:rPr>
        <w:rFonts w:ascii="宋体" w:hAnsi="宋体" w:hint="default"/>
      </w:rPr>
    </w:lvl>
    <w:lvl w:ilvl="1" w:tplc="D3AE6280" w:tentative="1">
      <w:start w:val="1"/>
      <w:numFmt w:val="bullet"/>
      <w:lvlText w:val="●"/>
      <w:lvlJc w:val="left"/>
      <w:pPr>
        <w:tabs>
          <w:tab w:val="num" w:pos="1440"/>
        </w:tabs>
        <w:ind w:left="1440" w:hanging="360"/>
      </w:pPr>
      <w:rPr>
        <w:rFonts w:ascii="宋体" w:hAnsi="宋体" w:hint="default"/>
      </w:rPr>
    </w:lvl>
    <w:lvl w:ilvl="2" w:tplc="4DD2022A" w:tentative="1">
      <w:start w:val="1"/>
      <w:numFmt w:val="bullet"/>
      <w:lvlText w:val="●"/>
      <w:lvlJc w:val="left"/>
      <w:pPr>
        <w:tabs>
          <w:tab w:val="num" w:pos="2160"/>
        </w:tabs>
        <w:ind w:left="2160" w:hanging="360"/>
      </w:pPr>
      <w:rPr>
        <w:rFonts w:ascii="宋体" w:hAnsi="宋体" w:hint="default"/>
      </w:rPr>
    </w:lvl>
    <w:lvl w:ilvl="3" w:tplc="434ABE70" w:tentative="1">
      <w:start w:val="1"/>
      <w:numFmt w:val="bullet"/>
      <w:lvlText w:val="●"/>
      <w:lvlJc w:val="left"/>
      <w:pPr>
        <w:tabs>
          <w:tab w:val="num" w:pos="2880"/>
        </w:tabs>
        <w:ind w:left="2880" w:hanging="360"/>
      </w:pPr>
      <w:rPr>
        <w:rFonts w:ascii="宋体" w:hAnsi="宋体" w:hint="default"/>
      </w:rPr>
    </w:lvl>
    <w:lvl w:ilvl="4" w:tplc="521434FC" w:tentative="1">
      <w:start w:val="1"/>
      <w:numFmt w:val="bullet"/>
      <w:lvlText w:val="●"/>
      <w:lvlJc w:val="left"/>
      <w:pPr>
        <w:tabs>
          <w:tab w:val="num" w:pos="3600"/>
        </w:tabs>
        <w:ind w:left="3600" w:hanging="360"/>
      </w:pPr>
      <w:rPr>
        <w:rFonts w:ascii="宋体" w:hAnsi="宋体" w:hint="default"/>
      </w:rPr>
    </w:lvl>
    <w:lvl w:ilvl="5" w:tplc="2FEA8A8A" w:tentative="1">
      <w:start w:val="1"/>
      <w:numFmt w:val="bullet"/>
      <w:lvlText w:val="●"/>
      <w:lvlJc w:val="left"/>
      <w:pPr>
        <w:tabs>
          <w:tab w:val="num" w:pos="4320"/>
        </w:tabs>
        <w:ind w:left="4320" w:hanging="360"/>
      </w:pPr>
      <w:rPr>
        <w:rFonts w:ascii="宋体" w:hAnsi="宋体" w:hint="default"/>
      </w:rPr>
    </w:lvl>
    <w:lvl w:ilvl="6" w:tplc="6966F5A2" w:tentative="1">
      <w:start w:val="1"/>
      <w:numFmt w:val="bullet"/>
      <w:lvlText w:val="●"/>
      <w:lvlJc w:val="left"/>
      <w:pPr>
        <w:tabs>
          <w:tab w:val="num" w:pos="5040"/>
        </w:tabs>
        <w:ind w:left="5040" w:hanging="360"/>
      </w:pPr>
      <w:rPr>
        <w:rFonts w:ascii="宋体" w:hAnsi="宋体" w:hint="default"/>
      </w:rPr>
    </w:lvl>
    <w:lvl w:ilvl="7" w:tplc="C8784596" w:tentative="1">
      <w:start w:val="1"/>
      <w:numFmt w:val="bullet"/>
      <w:lvlText w:val="●"/>
      <w:lvlJc w:val="left"/>
      <w:pPr>
        <w:tabs>
          <w:tab w:val="num" w:pos="5760"/>
        </w:tabs>
        <w:ind w:left="5760" w:hanging="360"/>
      </w:pPr>
      <w:rPr>
        <w:rFonts w:ascii="宋体" w:hAnsi="宋体" w:hint="default"/>
      </w:rPr>
    </w:lvl>
    <w:lvl w:ilvl="8" w:tplc="F2E6E502" w:tentative="1">
      <w:start w:val="1"/>
      <w:numFmt w:val="bullet"/>
      <w:lvlText w:val="●"/>
      <w:lvlJc w:val="left"/>
      <w:pPr>
        <w:tabs>
          <w:tab w:val="num" w:pos="6480"/>
        </w:tabs>
        <w:ind w:left="6480" w:hanging="360"/>
      </w:pPr>
      <w:rPr>
        <w:rFonts w:ascii="宋体" w:hAnsi="宋体" w:hint="default"/>
      </w:rPr>
    </w:lvl>
  </w:abstractNum>
  <w:abstractNum w:abstractNumId="3" w15:restartNumberingAfterBreak="0">
    <w:nsid w:val="5CAC6ABD"/>
    <w:multiLevelType w:val="hybridMultilevel"/>
    <w:tmpl w:val="54CA2098"/>
    <w:lvl w:ilvl="0" w:tplc="DFB486FA">
      <w:start w:val="1"/>
      <w:numFmt w:val="bullet"/>
      <w:lvlText w:val="●"/>
      <w:lvlJc w:val="left"/>
      <w:pPr>
        <w:tabs>
          <w:tab w:val="num" w:pos="720"/>
        </w:tabs>
        <w:ind w:left="720" w:hanging="360"/>
      </w:pPr>
      <w:rPr>
        <w:rFonts w:ascii="宋体" w:hAnsi="宋体" w:hint="default"/>
      </w:rPr>
    </w:lvl>
    <w:lvl w:ilvl="1" w:tplc="BF0A616C" w:tentative="1">
      <w:start w:val="1"/>
      <w:numFmt w:val="bullet"/>
      <w:lvlText w:val="●"/>
      <w:lvlJc w:val="left"/>
      <w:pPr>
        <w:tabs>
          <w:tab w:val="num" w:pos="1440"/>
        </w:tabs>
        <w:ind w:left="1440" w:hanging="360"/>
      </w:pPr>
      <w:rPr>
        <w:rFonts w:ascii="宋体" w:hAnsi="宋体" w:hint="default"/>
      </w:rPr>
    </w:lvl>
    <w:lvl w:ilvl="2" w:tplc="09BA6DF8" w:tentative="1">
      <w:start w:val="1"/>
      <w:numFmt w:val="bullet"/>
      <w:lvlText w:val="●"/>
      <w:lvlJc w:val="left"/>
      <w:pPr>
        <w:tabs>
          <w:tab w:val="num" w:pos="2160"/>
        </w:tabs>
        <w:ind w:left="2160" w:hanging="360"/>
      </w:pPr>
      <w:rPr>
        <w:rFonts w:ascii="宋体" w:hAnsi="宋体" w:hint="default"/>
      </w:rPr>
    </w:lvl>
    <w:lvl w:ilvl="3" w:tplc="4E186786" w:tentative="1">
      <w:start w:val="1"/>
      <w:numFmt w:val="bullet"/>
      <w:lvlText w:val="●"/>
      <w:lvlJc w:val="left"/>
      <w:pPr>
        <w:tabs>
          <w:tab w:val="num" w:pos="2880"/>
        </w:tabs>
        <w:ind w:left="2880" w:hanging="360"/>
      </w:pPr>
      <w:rPr>
        <w:rFonts w:ascii="宋体" w:hAnsi="宋体" w:hint="default"/>
      </w:rPr>
    </w:lvl>
    <w:lvl w:ilvl="4" w:tplc="13781F02" w:tentative="1">
      <w:start w:val="1"/>
      <w:numFmt w:val="bullet"/>
      <w:lvlText w:val="●"/>
      <w:lvlJc w:val="left"/>
      <w:pPr>
        <w:tabs>
          <w:tab w:val="num" w:pos="3600"/>
        </w:tabs>
        <w:ind w:left="3600" w:hanging="360"/>
      </w:pPr>
      <w:rPr>
        <w:rFonts w:ascii="宋体" w:hAnsi="宋体" w:hint="default"/>
      </w:rPr>
    </w:lvl>
    <w:lvl w:ilvl="5" w:tplc="F2B25C8C" w:tentative="1">
      <w:start w:val="1"/>
      <w:numFmt w:val="bullet"/>
      <w:lvlText w:val="●"/>
      <w:lvlJc w:val="left"/>
      <w:pPr>
        <w:tabs>
          <w:tab w:val="num" w:pos="4320"/>
        </w:tabs>
        <w:ind w:left="4320" w:hanging="360"/>
      </w:pPr>
      <w:rPr>
        <w:rFonts w:ascii="宋体" w:hAnsi="宋体" w:hint="default"/>
      </w:rPr>
    </w:lvl>
    <w:lvl w:ilvl="6" w:tplc="E8B28FCA" w:tentative="1">
      <w:start w:val="1"/>
      <w:numFmt w:val="bullet"/>
      <w:lvlText w:val="●"/>
      <w:lvlJc w:val="left"/>
      <w:pPr>
        <w:tabs>
          <w:tab w:val="num" w:pos="5040"/>
        </w:tabs>
        <w:ind w:left="5040" w:hanging="360"/>
      </w:pPr>
      <w:rPr>
        <w:rFonts w:ascii="宋体" w:hAnsi="宋体" w:hint="default"/>
      </w:rPr>
    </w:lvl>
    <w:lvl w:ilvl="7" w:tplc="BE648C76" w:tentative="1">
      <w:start w:val="1"/>
      <w:numFmt w:val="bullet"/>
      <w:lvlText w:val="●"/>
      <w:lvlJc w:val="left"/>
      <w:pPr>
        <w:tabs>
          <w:tab w:val="num" w:pos="5760"/>
        </w:tabs>
        <w:ind w:left="5760" w:hanging="360"/>
      </w:pPr>
      <w:rPr>
        <w:rFonts w:ascii="宋体" w:hAnsi="宋体" w:hint="default"/>
      </w:rPr>
    </w:lvl>
    <w:lvl w:ilvl="8" w:tplc="2048B65C" w:tentative="1">
      <w:start w:val="1"/>
      <w:numFmt w:val="bullet"/>
      <w:lvlText w:val="●"/>
      <w:lvlJc w:val="left"/>
      <w:pPr>
        <w:tabs>
          <w:tab w:val="num" w:pos="6480"/>
        </w:tabs>
        <w:ind w:left="6480" w:hanging="360"/>
      </w:pPr>
      <w:rPr>
        <w:rFonts w:ascii="宋体" w:hAnsi="宋体" w:hint="default"/>
      </w:rPr>
    </w:lvl>
  </w:abstractNum>
  <w:num w:numId="1" w16cid:durableId="1240166178">
    <w:abstractNumId w:val="3"/>
  </w:num>
  <w:num w:numId="2" w16cid:durableId="964239211">
    <w:abstractNumId w:val="1"/>
  </w:num>
  <w:num w:numId="3" w16cid:durableId="917595868">
    <w:abstractNumId w:val="0"/>
  </w:num>
  <w:num w:numId="4" w16cid:durableId="1030298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83AA8"/>
    <w:rsid w:val="00011ECD"/>
    <w:rsid w:val="000A411B"/>
    <w:rsid w:val="000B03CE"/>
    <w:rsid w:val="001067F2"/>
    <w:rsid w:val="00120977"/>
    <w:rsid w:val="00157D12"/>
    <w:rsid w:val="001A5859"/>
    <w:rsid w:val="001D0A97"/>
    <w:rsid w:val="001D6C47"/>
    <w:rsid w:val="00212E88"/>
    <w:rsid w:val="0021568A"/>
    <w:rsid w:val="00225C9D"/>
    <w:rsid w:val="002567DB"/>
    <w:rsid w:val="002720B8"/>
    <w:rsid w:val="002C1E77"/>
    <w:rsid w:val="002C39C4"/>
    <w:rsid w:val="002C5045"/>
    <w:rsid w:val="002E17AB"/>
    <w:rsid w:val="00310AA2"/>
    <w:rsid w:val="00325469"/>
    <w:rsid w:val="0034425F"/>
    <w:rsid w:val="00354025"/>
    <w:rsid w:val="0037020D"/>
    <w:rsid w:val="003D3FEC"/>
    <w:rsid w:val="003D7976"/>
    <w:rsid w:val="00431566"/>
    <w:rsid w:val="0047427E"/>
    <w:rsid w:val="004806DF"/>
    <w:rsid w:val="00487136"/>
    <w:rsid w:val="004B2F54"/>
    <w:rsid w:val="004C0B2A"/>
    <w:rsid w:val="004D15F1"/>
    <w:rsid w:val="00500FFE"/>
    <w:rsid w:val="00504CAF"/>
    <w:rsid w:val="005051E9"/>
    <w:rsid w:val="00511B4B"/>
    <w:rsid w:val="00512711"/>
    <w:rsid w:val="00526EF7"/>
    <w:rsid w:val="00535594"/>
    <w:rsid w:val="00566C66"/>
    <w:rsid w:val="0057787B"/>
    <w:rsid w:val="00583AA8"/>
    <w:rsid w:val="00587DEE"/>
    <w:rsid w:val="005927C8"/>
    <w:rsid w:val="00593308"/>
    <w:rsid w:val="005E39C1"/>
    <w:rsid w:val="006453AF"/>
    <w:rsid w:val="006470D4"/>
    <w:rsid w:val="0066777B"/>
    <w:rsid w:val="00686385"/>
    <w:rsid w:val="00697BCD"/>
    <w:rsid w:val="006A1EE4"/>
    <w:rsid w:val="006A69AB"/>
    <w:rsid w:val="006C0C23"/>
    <w:rsid w:val="006C6E29"/>
    <w:rsid w:val="006E01B5"/>
    <w:rsid w:val="006E2B77"/>
    <w:rsid w:val="006F401B"/>
    <w:rsid w:val="00702D1A"/>
    <w:rsid w:val="00706F58"/>
    <w:rsid w:val="00735999"/>
    <w:rsid w:val="007379D1"/>
    <w:rsid w:val="00751747"/>
    <w:rsid w:val="007602E1"/>
    <w:rsid w:val="007905D9"/>
    <w:rsid w:val="007924E2"/>
    <w:rsid w:val="0079781B"/>
    <w:rsid w:val="007A5C2D"/>
    <w:rsid w:val="007E10F2"/>
    <w:rsid w:val="007F025C"/>
    <w:rsid w:val="00812F93"/>
    <w:rsid w:val="0082771C"/>
    <w:rsid w:val="00872F84"/>
    <w:rsid w:val="00882B79"/>
    <w:rsid w:val="008B64DC"/>
    <w:rsid w:val="008C5E66"/>
    <w:rsid w:val="008C7E5F"/>
    <w:rsid w:val="008D77E8"/>
    <w:rsid w:val="00905E4A"/>
    <w:rsid w:val="00937925"/>
    <w:rsid w:val="00950C86"/>
    <w:rsid w:val="009512C6"/>
    <w:rsid w:val="00954D4F"/>
    <w:rsid w:val="00965032"/>
    <w:rsid w:val="00967261"/>
    <w:rsid w:val="00976E96"/>
    <w:rsid w:val="0099594E"/>
    <w:rsid w:val="009A18AD"/>
    <w:rsid w:val="009C6AB5"/>
    <w:rsid w:val="009E642B"/>
    <w:rsid w:val="00A07D23"/>
    <w:rsid w:val="00A1059A"/>
    <w:rsid w:val="00A252DB"/>
    <w:rsid w:val="00A4044D"/>
    <w:rsid w:val="00A46388"/>
    <w:rsid w:val="00A91B87"/>
    <w:rsid w:val="00AB319E"/>
    <w:rsid w:val="00AC5881"/>
    <w:rsid w:val="00AD0A47"/>
    <w:rsid w:val="00AF2435"/>
    <w:rsid w:val="00B132C2"/>
    <w:rsid w:val="00B142A6"/>
    <w:rsid w:val="00B14DB9"/>
    <w:rsid w:val="00B25DF9"/>
    <w:rsid w:val="00B57D54"/>
    <w:rsid w:val="00B87E6B"/>
    <w:rsid w:val="00BA08B6"/>
    <w:rsid w:val="00C07EF6"/>
    <w:rsid w:val="00C24175"/>
    <w:rsid w:val="00C61D7E"/>
    <w:rsid w:val="00C72550"/>
    <w:rsid w:val="00C81BF2"/>
    <w:rsid w:val="00C85758"/>
    <w:rsid w:val="00CA1623"/>
    <w:rsid w:val="00CA2A6F"/>
    <w:rsid w:val="00CA2F5C"/>
    <w:rsid w:val="00CA3448"/>
    <w:rsid w:val="00CC564E"/>
    <w:rsid w:val="00CC5B45"/>
    <w:rsid w:val="00CD403D"/>
    <w:rsid w:val="00CD55B2"/>
    <w:rsid w:val="00CD61C9"/>
    <w:rsid w:val="00CF339B"/>
    <w:rsid w:val="00D20A9C"/>
    <w:rsid w:val="00D2215D"/>
    <w:rsid w:val="00D238A6"/>
    <w:rsid w:val="00D33544"/>
    <w:rsid w:val="00D417F2"/>
    <w:rsid w:val="00D43E13"/>
    <w:rsid w:val="00D56E25"/>
    <w:rsid w:val="00D7156B"/>
    <w:rsid w:val="00DA4ADB"/>
    <w:rsid w:val="00DB79D9"/>
    <w:rsid w:val="00E06D26"/>
    <w:rsid w:val="00E1505D"/>
    <w:rsid w:val="00E2638F"/>
    <w:rsid w:val="00EC03F8"/>
    <w:rsid w:val="00EC09A6"/>
    <w:rsid w:val="00EC6942"/>
    <w:rsid w:val="00ED33FD"/>
    <w:rsid w:val="00EF28A4"/>
    <w:rsid w:val="00F158DC"/>
    <w:rsid w:val="00F20EAB"/>
    <w:rsid w:val="00F25452"/>
    <w:rsid w:val="00F53AB5"/>
    <w:rsid w:val="00F631FD"/>
    <w:rsid w:val="00F97008"/>
    <w:rsid w:val="00FD2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A86D3A"/>
  <w15:docId w15:val="{F2883B5F-CD99-4F9E-813A-8A1904BF8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egoe UI Light" w:eastAsia="Segoe UI Light" w:hAnsi="Segoe UI Light" w:cs="Segoe UI Ligh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spacing w:before="245"/>
      <w:ind w:left="88"/>
      <w:jc w:val="both"/>
    </w:pPr>
  </w:style>
  <w:style w:type="paragraph" w:styleId="a5">
    <w:name w:val="Title"/>
    <w:basedOn w:val="a"/>
    <w:uiPriority w:val="10"/>
    <w:qFormat/>
    <w:pPr>
      <w:spacing w:before="21"/>
      <w:ind w:left="20"/>
    </w:pPr>
    <w:rPr>
      <w:sz w:val="28"/>
      <w:szCs w:val="28"/>
    </w:rPr>
  </w:style>
  <w:style w:type="paragraph" w:styleId="a6">
    <w:name w:val="List Paragraph"/>
    <w:basedOn w:val="a"/>
    <w:uiPriority w:val="34"/>
    <w:qFormat/>
  </w:style>
  <w:style w:type="paragraph" w:customStyle="1" w:styleId="TableParagraph">
    <w:name w:val="Table Paragraph"/>
    <w:basedOn w:val="a"/>
    <w:uiPriority w:val="1"/>
    <w:qFormat/>
  </w:style>
  <w:style w:type="paragraph" w:styleId="a7">
    <w:name w:val="header"/>
    <w:basedOn w:val="a"/>
    <w:link w:val="a8"/>
    <w:uiPriority w:val="99"/>
    <w:unhideWhenUsed/>
    <w:rsid w:val="00B14DB9"/>
    <w:pPr>
      <w:tabs>
        <w:tab w:val="center" w:pos="4153"/>
        <w:tab w:val="right" w:pos="8306"/>
      </w:tabs>
      <w:snapToGrid w:val="0"/>
      <w:jc w:val="center"/>
    </w:pPr>
    <w:rPr>
      <w:sz w:val="18"/>
      <w:szCs w:val="18"/>
    </w:rPr>
  </w:style>
  <w:style w:type="character" w:customStyle="1" w:styleId="a8">
    <w:name w:val="页眉 字符"/>
    <w:basedOn w:val="a0"/>
    <w:link w:val="a7"/>
    <w:uiPriority w:val="99"/>
    <w:rsid w:val="00B14DB9"/>
    <w:rPr>
      <w:rFonts w:ascii="Segoe UI Light" w:eastAsia="Segoe UI Light" w:hAnsi="Segoe UI Light" w:cs="Segoe UI Light"/>
      <w:sz w:val="18"/>
      <w:szCs w:val="18"/>
    </w:rPr>
  </w:style>
  <w:style w:type="paragraph" w:styleId="a9">
    <w:name w:val="footer"/>
    <w:basedOn w:val="a"/>
    <w:link w:val="aa"/>
    <w:uiPriority w:val="99"/>
    <w:unhideWhenUsed/>
    <w:rsid w:val="00B14DB9"/>
    <w:pPr>
      <w:tabs>
        <w:tab w:val="center" w:pos="4153"/>
        <w:tab w:val="right" w:pos="8306"/>
      </w:tabs>
      <w:snapToGrid w:val="0"/>
    </w:pPr>
    <w:rPr>
      <w:sz w:val="18"/>
      <w:szCs w:val="18"/>
    </w:rPr>
  </w:style>
  <w:style w:type="character" w:customStyle="1" w:styleId="aa">
    <w:name w:val="页脚 字符"/>
    <w:basedOn w:val="a0"/>
    <w:link w:val="a9"/>
    <w:uiPriority w:val="99"/>
    <w:rsid w:val="00B14DB9"/>
    <w:rPr>
      <w:rFonts w:ascii="Segoe UI Light" w:eastAsia="Segoe UI Light" w:hAnsi="Segoe UI Light" w:cs="Segoe UI Light"/>
      <w:sz w:val="18"/>
      <w:szCs w:val="18"/>
    </w:rPr>
  </w:style>
  <w:style w:type="character" w:styleId="ab">
    <w:name w:val="Hyperlink"/>
    <w:basedOn w:val="a0"/>
    <w:uiPriority w:val="99"/>
    <w:unhideWhenUsed/>
    <w:rsid w:val="00B14DB9"/>
    <w:rPr>
      <w:color w:val="0000FF" w:themeColor="hyperlink"/>
      <w:u w:val="single"/>
    </w:rPr>
  </w:style>
  <w:style w:type="character" w:styleId="ac">
    <w:name w:val="Unresolved Mention"/>
    <w:basedOn w:val="a0"/>
    <w:uiPriority w:val="99"/>
    <w:semiHidden/>
    <w:unhideWhenUsed/>
    <w:rsid w:val="00B14DB9"/>
    <w:rPr>
      <w:color w:val="605E5C"/>
      <w:shd w:val="clear" w:color="auto" w:fill="E1DFDD"/>
    </w:rPr>
  </w:style>
  <w:style w:type="table" w:styleId="ad">
    <w:name w:val="Table Grid"/>
    <w:basedOn w:val="a1"/>
    <w:uiPriority w:val="39"/>
    <w:rsid w:val="00976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正文文本 字符"/>
    <w:basedOn w:val="a0"/>
    <w:link w:val="a3"/>
    <w:uiPriority w:val="1"/>
    <w:rsid w:val="00E06D26"/>
    <w:rPr>
      <w:rFonts w:ascii="Segoe UI Light" w:eastAsia="Segoe UI Light" w:hAnsi="Segoe UI Light" w:cs="Segoe U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945</Words>
  <Characters>5388</Characters>
  <Application>Microsoft Office Word</Application>
  <DocSecurity>0</DocSecurity>
  <Lines>44</Lines>
  <Paragraphs>12</Paragraphs>
  <ScaleCrop>false</ScaleCrop>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DISCLOSURE V1.3</dc:title>
  <dc:subject>WWW.IEXS.COM</dc:subject>
  <dc:creator>Francis</dc:creator>
  <cp:lastModifiedBy>Ying Chen</cp:lastModifiedBy>
  <cp:revision>2</cp:revision>
  <cp:lastPrinted>2025-08-28T03:27:00Z</cp:lastPrinted>
  <dcterms:created xsi:type="dcterms:W3CDTF">2026-05-14T03:35:00Z</dcterms:created>
  <dcterms:modified xsi:type="dcterms:W3CDTF">2026-05-14T03:35:00Z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2023-09-27T00:00:00Z</vt:filetime>
  </property>
  <property fmtid="{D5CDD505-2E9C-101B-9397-08002B2CF9AE}" pid="3" name="Creator">
    <vt:lpwstr>Microsoft® Word 适用于 Microsoft 365</vt:lpwstr>
  </property>
  <property fmtid="{D5CDD505-2E9C-101B-9397-08002B2CF9AE}" pid="4" name="LastSaved">
    <vt:filetime>2025-04-02T00:00:00Z</vt:filetime>
  </property>
  <property fmtid="{D5CDD505-2E9C-101B-9397-08002B2CF9AE}" pid="5" name="Producer">
    <vt:lpwstr>Microsoft® Word 适用于 Microsoft 365</vt:lpwstr>
  </property>
</Properties>
</file>