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C79E" w14:textId="77777777" w:rsidR="00A94A9B" w:rsidRPr="002F262D" w:rsidRDefault="004F6AE4">
      <w:pPr>
        <w:pStyle w:val="a3"/>
        <w:spacing w:before="200"/>
        <w:jc w:val="left"/>
        <w:rPr>
          <w:b/>
          <w:bCs/>
        </w:rPr>
      </w:pPr>
      <w:r w:rsidRPr="002F262D">
        <w:rPr>
          <w:b/>
          <w:bCs/>
          <w:spacing w:val="-2"/>
        </w:rPr>
        <w:t>High</w:t>
      </w:r>
      <w:r w:rsidRPr="002F262D">
        <w:rPr>
          <w:b/>
          <w:bCs/>
          <w:spacing w:val="-13"/>
        </w:rPr>
        <w:t xml:space="preserve"> </w:t>
      </w:r>
      <w:r w:rsidRPr="002F262D">
        <w:rPr>
          <w:b/>
          <w:bCs/>
          <w:spacing w:val="-2"/>
        </w:rPr>
        <w:t>Risk</w:t>
      </w:r>
      <w:r w:rsidRPr="002F262D">
        <w:rPr>
          <w:b/>
          <w:bCs/>
          <w:spacing w:val="-9"/>
        </w:rPr>
        <w:t xml:space="preserve"> </w:t>
      </w:r>
      <w:r w:rsidRPr="002F262D">
        <w:rPr>
          <w:b/>
          <w:bCs/>
          <w:spacing w:val="-2"/>
        </w:rPr>
        <w:t>Investment</w:t>
      </w:r>
    </w:p>
    <w:p w14:paraId="157AF575" w14:textId="77777777" w:rsidR="00A94A9B" w:rsidRDefault="004F6AE4">
      <w:pPr>
        <w:pStyle w:val="a3"/>
        <w:spacing w:line="276" w:lineRule="auto"/>
        <w:ind w:right="46"/>
      </w:pPr>
      <w:r>
        <w:t>Forex</w:t>
      </w:r>
      <w:r>
        <w:rPr>
          <w:spacing w:val="-3"/>
        </w:rPr>
        <w:t xml:space="preserve"> </w:t>
      </w:r>
      <w:r>
        <w:t>margin</w:t>
      </w:r>
      <w:r>
        <w:rPr>
          <w:spacing w:val="-2"/>
        </w:rPr>
        <w:t xml:space="preserve"> </w:t>
      </w:r>
      <w:r>
        <w:t>trading</w:t>
      </w:r>
      <w:r>
        <w:rPr>
          <w:spacing w:val="-1"/>
        </w:rPr>
        <w:t xml:space="preserve"> </w:t>
      </w:r>
      <w:r>
        <w:t>involves</w:t>
      </w:r>
      <w:r>
        <w:rPr>
          <w:spacing w:val="-1"/>
        </w:rPr>
        <w:t xml:space="preserve"> </w:t>
      </w:r>
      <w:r>
        <w:t>substantial</w:t>
      </w:r>
      <w:r>
        <w:rPr>
          <w:spacing w:val="-1"/>
        </w:rPr>
        <w:t xml:space="preserve"> </w:t>
      </w:r>
      <w:r>
        <w:t>risks.</w:t>
      </w:r>
      <w:r>
        <w:rPr>
          <w:spacing w:val="-3"/>
        </w:rPr>
        <w:t xml:space="preserve"> </w:t>
      </w:r>
      <w:r>
        <w:t>Forex</w:t>
      </w:r>
      <w:r>
        <w:rPr>
          <w:spacing w:val="-3"/>
        </w:rPr>
        <w:t xml:space="preserve"> </w:t>
      </w:r>
      <w:r>
        <w:t>margin</w:t>
      </w:r>
      <w:r>
        <w:rPr>
          <w:spacing w:val="-2"/>
        </w:rPr>
        <w:t xml:space="preserve"> </w:t>
      </w:r>
      <w:r>
        <w:t>trading</w:t>
      </w:r>
      <w:r>
        <w:rPr>
          <w:spacing w:val="-1"/>
        </w:rPr>
        <w:t xml:space="preserve"> </w:t>
      </w:r>
      <w:r>
        <w:t>exposes</w:t>
      </w:r>
      <w:r>
        <w:rPr>
          <w:spacing w:val="-1"/>
        </w:rPr>
        <w:t xml:space="preserve"> </w:t>
      </w:r>
      <w:r>
        <w:t>participants</w:t>
      </w:r>
      <w:r>
        <w:rPr>
          <w:spacing w:val="-1"/>
        </w:rPr>
        <w:t xml:space="preserve"> </w:t>
      </w:r>
      <w:r>
        <w:t>to</w:t>
      </w:r>
      <w:r>
        <w:rPr>
          <w:spacing w:val="-1"/>
        </w:rPr>
        <w:t xml:space="preserve"> </w:t>
      </w:r>
      <w:r>
        <w:t>risks</w:t>
      </w:r>
      <w:r>
        <w:rPr>
          <w:spacing w:val="-2"/>
        </w:rPr>
        <w:t xml:space="preserve"> </w:t>
      </w:r>
      <w:r>
        <w:t>including, but not limited to, changes in political conditions, economic factors, acts of nature and other factors, all of which may substantially affect the price or availability of one or more foreign currencies.</w:t>
      </w:r>
    </w:p>
    <w:p w14:paraId="29274320" w14:textId="56EC9FD3" w:rsidR="00A94A9B" w:rsidRDefault="004F6AE4">
      <w:pPr>
        <w:pStyle w:val="a3"/>
        <w:spacing w:before="202" w:line="276" w:lineRule="auto"/>
        <w:ind w:right="84"/>
      </w:pPr>
      <w:r>
        <w:t>Speculative</w:t>
      </w:r>
      <w:r>
        <w:rPr>
          <w:spacing w:val="-1"/>
        </w:rPr>
        <w:t xml:space="preserve"> </w:t>
      </w:r>
      <w:r>
        <w:t>trading is a challenging</w:t>
      </w:r>
      <w:r>
        <w:rPr>
          <w:spacing w:val="-1"/>
        </w:rPr>
        <w:t xml:space="preserve"> </w:t>
      </w:r>
      <w:r>
        <w:t>prospect,</w:t>
      </w:r>
      <w:r>
        <w:rPr>
          <w:spacing w:val="-1"/>
        </w:rPr>
        <w:t xml:space="preserve"> </w:t>
      </w:r>
      <w:r>
        <w:t>even to those</w:t>
      </w:r>
      <w:r>
        <w:rPr>
          <w:spacing w:val="-1"/>
        </w:rPr>
        <w:t xml:space="preserve"> </w:t>
      </w:r>
      <w:r>
        <w:t>with market experience</w:t>
      </w:r>
      <w:r>
        <w:rPr>
          <w:spacing w:val="-1"/>
        </w:rPr>
        <w:t xml:space="preserve"> </w:t>
      </w:r>
      <w:r>
        <w:t>and</w:t>
      </w:r>
      <w:r>
        <w:rPr>
          <w:spacing w:val="-1"/>
        </w:rPr>
        <w:t xml:space="preserve"> </w:t>
      </w:r>
      <w:r>
        <w:t>an understanding of the risks involved. Only funds that</w:t>
      </w:r>
      <w:r>
        <w:rPr>
          <w:spacing w:val="40"/>
        </w:rPr>
        <w:t xml:space="preserve"> </w:t>
      </w:r>
      <w:r>
        <w:t>a person would allocate to high-risk investments (i.e., funds that if lost would not affect the person's standard of living or financial well-being) should be used in trading.</w:t>
      </w:r>
    </w:p>
    <w:p w14:paraId="6246F040" w14:textId="4EBC5471" w:rsidR="00A94A9B" w:rsidRDefault="002F262D">
      <w:pPr>
        <w:pStyle w:val="a3"/>
        <w:spacing w:before="201" w:line="273" w:lineRule="auto"/>
        <w:ind w:right="82"/>
      </w:pPr>
      <w:r>
        <w:rPr>
          <w:noProof/>
        </w:rPr>
        <w:drawing>
          <wp:anchor distT="0" distB="0" distL="0" distR="0" simplePos="0" relativeHeight="251658240" behindDoc="1" locked="0" layoutInCell="1" allowOverlap="1" wp14:anchorId="2D18114A" wp14:editId="7E8C1BF1">
            <wp:simplePos x="0" y="0"/>
            <wp:positionH relativeFrom="page">
              <wp:posOffset>1680476</wp:posOffset>
            </wp:positionH>
            <wp:positionV relativeFrom="paragraph">
              <wp:posOffset>382950</wp:posOffset>
            </wp:positionV>
            <wp:extent cx="4198127" cy="419812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198127" cy="4198127"/>
                    </a:xfrm>
                    <a:prstGeom prst="rect">
                      <a:avLst/>
                    </a:prstGeom>
                  </pic:spPr>
                </pic:pic>
              </a:graphicData>
            </a:graphic>
          </wp:anchor>
        </w:drawing>
      </w:r>
      <w:r>
        <w:t xml:space="preserve">In cases where a </w:t>
      </w:r>
      <w:proofErr w:type="gramStart"/>
      <w:r>
        <w:t>Client</w:t>
      </w:r>
      <w:proofErr w:type="gramEnd"/>
      <w:r>
        <w:t xml:space="preserve"> has used only conservative forms of investment in the past, forex trading might</w:t>
      </w:r>
      <w:r>
        <w:rPr>
          <w:spacing w:val="80"/>
        </w:rPr>
        <w:t xml:space="preserve"> </w:t>
      </w:r>
      <w:r>
        <w:t>not be appropriate for the Client. A Client must understand that a total loss of all funds deposited can occur, should the market go against the Client's position(s).</w:t>
      </w:r>
    </w:p>
    <w:p w14:paraId="567BA7FB" w14:textId="77777777" w:rsidR="00A94A9B" w:rsidRPr="002F262D" w:rsidRDefault="004F6AE4">
      <w:pPr>
        <w:pStyle w:val="a3"/>
        <w:spacing w:before="206"/>
        <w:jc w:val="left"/>
        <w:rPr>
          <w:b/>
          <w:bCs/>
        </w:rPr>
      </w:pPr>
      <w:r w:rsidRPr="002F262D">
        <w:rPr>
          <w:b/>
          <w:bCs/>
          <w:spacing w:val="-2"/>
        </w:rPr>
        <w:t>Other</w:t>
      </w:r>
      <w:r w:rsidRPr="002F262D">
        <w:rPr>
          <w:b/>
          <w:bCs/>
          <w:spacing w:val="-7"/>
        </w:rPr>
        <w:t xml:space="preserve"> </w:t>
      </w:r>
      <w:r w:rsidRPr="002F262D">
        <w:rPr>
          <w:b/>
          <w:bCs/>
          <w:spacing w:val="-2"/>
        </w:rPr>
        <w:t>risks</w:t>
      </w:r>
    </w:p>
    <w:p w14:paraId="60E83521" w14:textId="77777777" w:rsidR="00A94A9B" w:rsidRDefault="004F6AE4">
      <w:pPr>
        <w:pStyle w:val="a3"/>
        <w:spacing w:line="276" w:lineRule="auto"/>
        <w:ind w:right="96"/>
      </w:pPr>
      <w:r>
        <w:t>IEXS does not and cannot guarantee the initial capital of the Clients' portfolio or its value at any time or any money invested in any financial instrument.</w:t>
      </w:r>
    </w:p>
    <w:p w14:paraId="474B10E0" w14:textId="77777777" w:rsidR="00A94A9B" w:rsidRDefault="004F6AE4">
      <w:pPr>
        <w:pStyle w:val="a3"/>
        <w:spacing w:before="201" w:line="276" w:lineRule="auto"/>
        <w:ind w:right="94"/>
      </w:pPr>
      <w:r>
        <w:t>The</w:t>
      </w:r>
      <w:r>
        <w:rPr>
          <w:spacing w:val="-1"/>
        </w:rPr>
        <w:t xml:space="preserve"> </w:t>
      </w:r>
      <w:r>
        <w:t>Client</w:t>
      </w:r>
      <w:r>
        <w:rPr>
          <w:spacing w:val="-1"/>
        </w:rPr>
        <w:t xml:space="preserve"> </w:t>
      </w:r>
      <w:r>
        <w:t>should unreservedly acknowledge</w:t>
      </w:r>
      <w:r>
        <w:rPr>
          <w:spacing w:val="-2"/>
        </w:rPr>
        <w:t xml:space="preserve"> </w:t>
      </w:r>
      <w:r>
        <w:t>and</w:t>
      </w:r>
      <w:r>
        <w:rPr>
          <w:spacing w:val="-1"/>
        </w:rPr>
        <w:t xml:space="preserve"> </w:t>
      </w:r>
      <w:r>
        <w:t>accept that the</w:t>
      </w:r>
      <w:r>
        <w:rPr>
          <w:spacing w:val="-1"/>
        </w:rPr>
        <w:t xml:space="preserve"> </w:t>
      </w:r>
      <w:r>
        <w:t>client</w:t>
      </w:r>
      <w:r>
        <w:rPr>
          <w:spacing w:val="-1"/>
        </w:rPr>
        <w:t xml:space="preserve"> </w:t>
      </w:r>
      <w:r>
        <w:t>runs a great risk of incurring losses and</w:t>
      </w:r>
      <w:r>
        <w:rPr>
          <w:spacing w:val="-1"/>
        </w:rPr>
        <w:t xml:space="preserve"> </w:t>
      </w:r>
      <w:r>
        <w:t>damages</w:t>
      </w:r>
      <w:r>
        <w:rPr>
          <w:spacing w:val="-4"/>
        </w:rPr>
        <w:t xml:space="preserve"> </w:t>
      </w:r>
      <w:proofErr w:type="gramStart"/>
      <w:r>
        <w:t>as</w:t>
      </w:r>
      <w:r>
        <w:rPr>
          <w:spacing w:val="-1"/>
        </w:rPr>
        <w:t xml:space="preserve"> </w:t>
      </w:r>
      <w:r>
        <w:t>a</w:t>
      </w:r>
      <w:r>
        <w:rPr>
          <w:spacing w:val="-1"/>
        </w:rPr>
        <w:t xml:space="preserve"> </w:t>
      </w:r>
      <w:r>
        <w:t>result</w:t>
      </w:r>
      <w:r>
        <w:rPr>
          <w:spacing w:val="-2"/>
        </w:rPr>
        <w:t xml:space="preserve"> </w:t>
      </w:r>
      <w:r>
        <w:t>of</w:t>
      </w:r>
      <w:proofErr w:type="gramEnd"/>
      <w:r>
        <w:rPr>
          <w:spacing w:val="-2"/>
        </w:rPr>
        <w:t xml:space="preserve"> </w:t>
      </w:r>
      <w:r>
        <w:t>the</w:t>
      </w:r>
      <w:r>
        <w:rPr>
          <w:spacing w:val="-1"/>
        </w:rPr>
        <w:t xml:space="preserve"> </w:t>
      </w:r>
      <w:r>
        <w:t>purchase</w:t>
      </w:r>
      <w:r>
        <w:rPr>
          <w:spacing w:val="-2"/>
        </w:rPr>
        <w:t xml:space="preserve"> </w:t>
      </w:r>
      <w:r>
        <w:t>and/or</w:t>
      </w:r>
      <w:r>
        <w:rPr>
          <w:spacing w:val="-2"/>
        </w:rPr>
        <w:t xml:space="preserve"> </w:t>
      </w:r>
      <w:r>
        <w:t>sale</w:t>
      </w:r>
      <w:r>
        <w:rPr>
          <w:spacing w:val="-4"/>
        </w:rPr>
        <w:t xml:space="preserve"> </w:t>
      </w:r>
      <w:r>
        <w:t>of</w:t>
      </w:r>
      <w:r>
        <w:rPr>
          <w:spacing w:val="-2"/>
        </w:rPr>
        <w:t xml:space="preserve"> </w:t>
      </w:r>
      <w:r>
        <w:t>any</w:t>
      </w:r>
      <w:r>
        <w:rPr>
          <w:spacing w:val="-1"/>
        </w:rPr>
        <w:t xml:space="preserve"> </w:t>
      </w:r>
      <w:r>
        <w:t>Financial Instrument</w:t>
      </w:r>
      <w:r>
        <w:rPr>
          <w:spacing w:val="-3"/>
        </w:rPr>
        <w:t xml:space="preserve"> </w:t>
      </w:r>
      <w:r>
        <w:t>and</w:t>
      </w:r>
      <w:r>
        <w:rPr>
          <w:spacing w:val="-1"/>
        </w:rPr>
        <w:t xml:space="preserve"> </w:t>
      </w:r>
      <w:r>
        <w:t>accepts</w:t>
      </w:r>
      <w:r>
        <w:rPr>
          <w:spacing w:val="-1"/>
        </w:rPr>
        <w:t xml:space="preserve"> </w:t>
      </w:r>
      <w:r>
        <w:t>and declares that they are willing to undertake this risk.</w:t>
      </w:r>
    </w:p>
    <w:p w14:paraId="25D32BB5" w14:textId="77777777" w:rsidR="00A94A9B" w:rsidRDefault="004F6AE4">
      <w:pPr>
        <w:pStyle w:val="a3"/>
        <w:spacing w:before="198" w:line="276" w:lineRule="auto"/>
        <w:ind w:right="92"/>
      </w:pPr>
      <w:r>
        <w:t>Clients should not engage in any investment directly or indirectly in Financial</w:t>
      </w:r>
      <w:r>
        <w:rPr>
          <w:spacing w:val="40"/>
        </w:rPr>
        <w:t xml:space="preserve"> </w:t>
      </w:r>
      <w:r>
        <w:t>Instruments unless they</w:t>
      </w:r>
      <w:r>
        <w:rPr>
          <w:spacing w:val="40"/>
        </w:rPr>
        <w:t xml:space="preserve"> </w:t>
      </w:r>
      <w:r>
        <w:t>know and understand the risks involved for each one of the Financial Instruments.</w:t>
      </w:r>
    </w:p>
    <w:p w14:paraId="3140796D" w14:textId="77777777" w:rsidR="00A94A9B" w:rsidRPr="002F262D" w:rsidRDefault="004F6AE4">
      <w:pPr>
        <w:pStyle w:val="a3"/>
        <w:spacing w:before="201"/>
        <w:jc w:val="left"/>
        <w:rPr>
          <w:b/>
          <w:bCs/>
        </w:rPr>
      </w:pPr>
      <w:r w:rsidRPr="002F262D">
        <w:rPr>
          <w:b/>
          <w:bCs/>
          <w:spacing w:val="-2"/>
        </w:rPr>
        <w:t>Web</w:t>
      </w:r>
      <w:r w:rsidRPr="002F262D">
        <w:rPr>
          <w:b/>
          <w:bCs/>
          <w:spacing w:val="-9"/>
        </w:rPr>
        <w:t xml:space="preserve"> </w:t>
      </w:r>
      <w:r w:rsidRPr="002F262D">
        <w:rPr>
          <w:b/>
          <w:bCs/>
          <w:spacing w:val="-2"/>
        </w:rPr>
        <w:t>Trading</w:t>
      </w:r>
      <w:r w:rsidRPr="002F262D">
        <w:rPr>
          <w:b/>
          <w:bCs/>
          <w:spacing w:val="-4"/>
        </w:rPr>
        <w:t xml:space="preserve"> Risks</w:t>
      </w:r>
    </w:p>
    <w:p w14:paraId="117F06B1" w14:textId="77777777" w:rsidR="00A94A9B" w:rsidRDefault="004F6AE4">
      <w:pPr>
        <w:pStyle w:val="a3"/>
        <w:spacing w:line="276" w:lineRule="auto"/>
        <w:ind w:right="88"/>
      </w:pPr>
      <w:r>
        <w:t xml:space="preserve">There are certain risks due to the nature of internet-based trading. These may include but not be limited </w:t>
      </w:r>
      <w:proofErr w:type="gramStart"/>
      <w:r>
        <w:t>to,</w:t>
      </w:r>
      <w:proofErr w:type="gramEnd"/>
      <w:r>
        <w:t xml:space="preserve"> the failure of hardware, software, and Internet connection. Since IEXS does not control internet providers, their equipment and technology, internet connection speed or reliability, configuration of your equipment</w:t>
      </w:r>
      <w:r>
        <w:rPr>
          <w:spacing w:val="-1"/>
        </w:rPr>
        <w:t xml:space="preserve"> </w:t>
      </w:r>
      <w:r>
        <w:t>or reliability</w:t>
      </w:r>
      <w:r>
        <w:rPr>
          <w:spacing w:val="-1"/>
        </w:rPr>
        <w:t xml:space="preserve"> </w:t>
      </w:r>
      <w:r>
        <w:t>of its connection,</w:t>
      </w:r>
      <w:r>
        <w:rPr>
          <w:spacing w:val="-1"/>
        </w:rPr>
        <w:t xml:space="preserve"> </w:t>
      </w:r>
      <w:r>
        <w:t>we</w:t>
      </w:r>
      <w:r>
        <w:rPr>
          <w:spacing w:val="-1"/>
        </w:rPr>
        <w:t xml:space="preserve"> </w:t>
      </w:r>
      <w:r>
        <w:t>cannot</w:t>
      </w:r>
      <w:r>
        <w:rPr>
          <w:spacing w:val="-2"/>
        </w:rPr>
        <w:t xml:space="preserve"> </w:t>
      </w:r>
      <w:r>
        <w:t>be responsible for communication failures,</w:t>
      </w:r>
      <w:r>
        <w:rPr>
          <w:spacing w:val="-1"/>
        </w:rPr>
        <w:t xml:space="preserve"> </w:t>
      </w:r>
      <w:r>
        <w:t>distortions or delays when trading via the Internet.</w:t>
      </w:r>
    </w:p>
    <w:p w14:paraId="513081B3" w14:textId="77777777" w:rsidR="00A94A9B" w:rsidRPr="002F262D" w:rsidRDefault="004F6AE4">
      <w:pPr>
        <w:pStyle w:val="a3"/>
        <w:spacing w:before="199"/>
        <w:jc w:val="left"/>
        <w:rPr>
          <w:b/>
          <w:bCs/>
        </w:rPr>
      </w:pPr>
      <w:r w:rsidRPr="002F262D">
        <w:rPr>
          <w:b/>
          <w:bCs/>
          <w:spacing w:val="-2"/>
        </w:rPr>
        <w:t>Software risks</w:t>
      </w:r>
    </w:p>
    <w:p w14:paraId="4CECA238" w14:textId="77777777" w:rsidR="00A94A9B" w:rsidRDefault="004F6AE4">
      <w:pPr>
        <w:pStyle w:val="a3"/>
        <w:spacing w:line="276" w:lineRule="auto"/>
        <w:ind w:right="82"/>
        <w:rPr>
          <w:rFonts w:eastAsiaTheme="minorEastAsia"/>
          <w:lang w:eastAsia="zh-CN"/>
        </w:rPr>
      </w:pPr>
      <w:proofErr w:type="spellStart"/>
      <w:r>
        <w:t>Metatrader</w:t>
      </w:r>
      <w:proofErr w:type="spellEnd"/>
      <w:r>
        <w:t xml:space="preserve"> 4 trading software uses a sophisticated order entry mechanism and order tracking system.</w:t>
      </w:r>
      <w:r>
        <w:rPr>
          <w:spacing w:val="40"/>
        </w:rPr>
        <w:t xml:space="preserve"> </w:t>
      </w:r>
      <w:r>
        <w:t>IEXS does its best to fill your trade at the price requested. Internet trading, regardless of how convenient</w:t>
      </w:r>
      <w:r>
        <w:rPr>
          <w:spacing w:val="40"/>
        </w:rPr>
        <w:t xml:space="preserve"> </w:t>
      </w:r>
      <w:r>
        <w:t xml:space="preserve">or </w:t>
      </w:r>
      <w:proofErr w:type="gramStart"/>
      <w:r>
        <w:t>efficient</w:t>
      </w:r>
      <w:proofErr w:type="gramEnd"/>
      <w:r>
        <w:t xml:space="preserve"> does not necessarily reduce risks associated with currency trading. All quotes and trades are subject to the terms and conditions of the Client Agreement.</w:t>
      </w:r>
    </w:p>
    <w:p w14:paraId="6FBABB55" w14:textId="77777777" w:rsidR="00A76396" w:rsidRDefault="00A76396">
      <w:pPr>
        <w:pStyle w:val="a3"/>
        <w:spacing w:line="276" w:lineRule="auto"/>
        <w:ind w:right="82"/>
        <w:rPr>
          <w:rFonts w:eastAsiaTheme="minorEastAsia"/>
          <w:lang w:eastAsia="zh-CN"/>
        </w:rPr>
      </w:pPr>
    </w:p>
    <w:p w14:paraId="028B35E8" w14:textId="77777777" w:rsidR="00A76396" w:rsidRDefault="00A76396" w:rsidP="00A76396">
      <w:pPr>
        <w:pStyle w:val="a3"/>
        <w:spacing w:line="276" w:lineRule="auto"/>
        <w:ind w:right="82"/>
        <w:rPr>
          <w:rFonts w:eastAsiaTheme="minorEastAsia"/>
          <w:lang w:eastAsia="zh-CN"/>
        </w:rPr>
      </w:pPr>
    </w:p>
    <w:p w14:paraId="51BFA072" w14:textId="71130A9E" w:rsidR="00A76396" w:rsidRPr="002F262D" w:rsidRDefault="00A76396" w:rsidP="00A76396">
      <w:pPr>
        <w:pStyle w:val="a3"/>
        <w:spacing w:line="276" w:lineRule="auto"/>
        <w:ind w:right="82"/>
        <w:rPr>
          <w:rFonts w:eastAsiaTheme="minorEastAsia"/>
          <w:b/>
          <w:bCs/>
          <w:lang w:eastAsia="zh-CN"/>
        </w:rPr>
      </w:pPr>
      <w:r w:rsidRPr="002F262D">
        <w:rPr>
          <w:rFonts w:eastAsiaTheme="minorEastAsia"/>
          <w:b/>
          <w:bCs/>
          <w:lang w:eastAsia="zh-CN"/>
        </w:rPr>
        <w:lastRenderedPageBreak/>
        <w:t>Leverage Adjustment Explanation</w:t>
      </w:r>
    </w:p>
    <w:p w14:paraId="766B9E1D" w14:textId="7BB1A605" w:rsidR="00A76396" w:rsidRPr="00A76396" w:rsidRDefault="00A76396" w:rsidP="002F262D">
      <w:pPr>
        <w:pStyle w:val="a3"/>
        <w:spacing w:line="276" w:lineRule="auto"/>
        <w:ind w:right="82"/>
        <w:rPr>
          <w:rFonts w:eastAsiaTheme="minorEastAsia"/>
          <w:lang w:eastAsia="zh-CN"/>
        </w:rPr>
      </w:pPr>
      <w:r w:rsidRPr="00A76396">
        <w:rPr>
          <w:rFonts w:eastAsiaTheme="minorEastAsia"/>
          <w:lang w:eastAsia="zh-CN"/>
        </w:rPr>
        <w:t>Automatic Leverage Adjustment Notice according to IEXS Risk Control Requirements: Your leverage will be automatically decreased under the following circumstances. When the equity of your individual trading account reaches or exceeds the specified equity range, IEXS reserves the right to automatically adjust the leverage of the trading account. Capital transfers or account profits will both impact the accounts equity. Please refer to the chart below for trading account equity and leverage</w:t>
      </w:r>
      <w:r>
        <w:rPr>
          <w:rFonts w:eastAsiaTheme="minorEastAsia" w:hint="eastAsia"/>
          <w:lang w:eastAsia="zh-CN"/>
        </w:rPr>
        <w:t>.</w:t>
      </w:r>
    </w:p>
    <w:tbl>
      <w:tblPr>
        <w:tblStyle w:val="a7"/>
        <w:tblW w:w="0" w:type="auto"/>
        <w:tblInd w:w="88" w:type="dxa"/>
        <w:tblLook w:val="04A0" w:firstRow="1" w:lastRow="0" w:firstColumn="1" w:lastColumn="0" w:noHBand="0" w:noVBand="1"/>
      </w:tblPr>
      <w:tblGrid>
        <w:gridCol w:w="2516"/>
        <w:gridCol w:w="2516"/>
        <w:gridCol w:w="2516"/>
        <w:gridCol w:w="2516"/>
      </w:tblGrid>
      <w:tr w:rsidR="00AF63EC" w14:paraId="5A2D0163" w14:textId="77777777" w:rsidTr="00CD2D3B">
        <w:tc>
          <w:tcPr>
            <w:tcW w:w="50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4EF3BBC7" w14:textId="46A125B8"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bookmarkStart w:id="0" w:name="_Hlk194500485"/>
            <w:r w:rsidRPr="00AF63EC">
              <w:rPr>
                <w:rFonts w:ascii="微软雅黑 Light" w:eastAsia="微软雅黑 Light" w:hAnsi="微软雅黑 Light" w:hint="eastAsia"/>
                <w:b/>
                <w:bCs/>
                <w:color w:val="FFFFFF" w:themeColor="background1"/>
                <w:lang w:eastAsia="zh-CN"/>
              </w:rPr>
              <w:t>Account Type</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7777AC70" w14:textId="79DFD693"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Standard Account</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451F3B26" w14:textId="541ED1DA"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DMA Account</w:t>
            </w:r>
          </w:p>
        </w:tc>
      </w:tr>
      <w:tr w:rsidR="00AF63EC" w14:paraId="0F857BB4" w14:textId="77777777" w:rsidTr="00CD2D3B">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492231B1" w14:textId="186E1207"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Instrument Type</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3FD93276" w14:textId="760BD338"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 xml:space="preserve">Account </w:t>
            </w:r>
            <w:r w:rsidR="003D3D36">
              <w:rPr>
                <w:rFonts w:ascii="微软雅黑 Light" w:eastAsia="微软雅黑 Light" w:hAnsi="微软雅黑 Light"/>
                <w:b/>
                <w:bCs/>
                <w:color w:val="FFFFFF" w:themeColor="background1"/>
                <w:lang w:eastAsia="zh-CN"/>
              </w:rPr>
              <w:t>E</w:t>
            </w:r>
            <w:r w:rsidR="003D3D36" w:rsidRPr="00AF63EC">
              <w:rPr>
                <w:rFonts w:ascii="微软雅黑 Light" w:eastAsia="微软雅黑 Light" w:hAnsi="微软雅黑 Light"/>
                <w:b/>
                <w:bCs/>
                <w:color w:val="FFFFFF" w:themeColor="background1"/>
                <w:lang w:eastAsia="zh-CN"/>
              </w:rPr>
              <w:t>quit</w:t>
            </w:r>
            <w:r w:rsidR="003D3D36" w:rsidRPr="00AF63EC">
              <w:rPr>
                <w:rFonts w:ascii="微软雅黑 Light" w:eastAsia="微软雅黑 Light" w:hAnsi="微软雅黑 Light" w:hint="eastAsia"/>
                <w:b/>
                <w:bCs/>
                <w:color w:val="FFFFFF" w:themeColor="background1"/>
                <w:lang w:eastAsia="zh-CN"/>
              </w:rPr>
              <w:t>y</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0A71A692" w14:textId="5D3645F7"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Leverage Available</w:t>
            </w:r>
          </w:p>
        </w:tc>
        <w:tc>
          <w:tcPr>
            <w:tcW w:w="2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68655"/>
          </w:tcPr>
          <w:p w14:paraId="450FF060" w14:textId="0626F551" w:rsidR="00AF63EC" w:rsidRPr="00AF63EC" w:rsidRDefault="00AF63EC" w:rsidP="00AF63EC">
            <w:pPr>
              <w:pStyle w:val="a3"/>
              <w:spacing w:before="200"/>
              <w:ind w:left="0"/>
              <w:jc w:val="center"/>
              <w:rPr>
                <w:rFonts w:ascii="微软雅黑 Light" w:eastAsia="微软雅黑 Light" w:hAnsi="微软雅黑 Light" w:hint="eastAsia"/>
                <w:b/>
                <w:bCs/>
                <w:color w:val="FFFFFF" w:themeColor="background1"/>
                <w:lang w:eastAsia="zh-CN"/>
              </w:rPr>
            </w:pPr>
            <w:r w:rsidRPr="00AF63EC">
              <w:rPr>
                <w:rFonts w:ascii="微软雅黑 Light" w:eastAsia="微软雅黑 Light" w:hAnsi="微软雅黑 Light" w:hint="eastAsia"/>
                <w:b/>
                <w:bCs/>
                <w:color w:val="FFFFFF" w:themeColor="background1"/>
                <w:lang w:eastAsia="zh-CN"/>
              </w:rPr>
              <w:t>Leverage Available</w:t>
            </w:r>
          </w:p>
        </w:tc>
      </w:tr>
      <w:tr w:rsidR="00AF63EC" w14:paraId="162AB157" w14:textId="77777777" w:rsidTr="00CD2D3B">
        <w:tc>
          <w:tcPr>
            <w:tcW w:w="2516" w:type="dxa"/>
            <w:tcBorders>
              <w:top w:val="single" w:sz="4" w:space="0" w:color="FFFFFF" w:themeColor="background1"/>
            </w:tcBorders>
            <w:vAlign w:val="center"/>
          </w:tcPr>
          <w:p w14:paraId="0B9B11FA"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Shares/Crypto Currency</w:t>
            </w:r>
          </w:p>
        </w:tc>
        <w:tc>
          <w:tcPr>
            <w:tcW w:w="2516" w:type="dxa"/>
            <w:tcBorders>
              <w:top w:val="single" w:sz="4" w:space="0" w:color="FFFFFF" w:themeColor="background1"/>
            </w:tcBorders>
            <w:vAlign w:val="center"/>
          </w:tcPr>
          <w:p w14:paraId="570D6395" w14:textId="6CC7BD88"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w:t>
            </w:r>
          </w:p>
        </w:tc>
        <w:tc>
          <w:tcPr>
            <w:tcW w:w="2516" w:type="dxa"/>
            <w:tcBorders>
              <w:top w:val="single" w:sz="4" w:space="0" w:color="FFFFFF" w:themeColor="background1"/>
            </w:tcBorders>
            <w:vAlign w:val="center"/>
          </w:tcPr>
          <w:p w14:paraId="37B23B13" w14:textId="325B4DAE"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1:10</w:t>
            </w:r>
          </w:p>
        </w:tc>
        <w:tc>
          <w:tcPr>
            <w:tcW w:w="2516" w:type="dxa"/>
            <w:tcBorders>
              <w:top w:val="single" w:sz="4" w:space="0" w:color="FFFFFF" w:themeColor="background1"/>
            </w:tcBorders>
            <w:vAlign w:val="center"/>
          </w:tcPr>
          <w:p w14:paraId="4B91099D" w14:textId="6F6DE476"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1:10</w:t>
            </w:r>
          </w:p>
        </w:tc>
      </w:tr>
      <w:tr w:rsidR="00AF63EC" w14:paraId="7492D5D8" w14:textId="77777777" w:rsidTr="00F06FC2">
        <w:tc>
          <w:tcPr>
            <w:tcW w:w="2516" w:type="dxa"/>
            <w:vAlign w:val="center"/>
          </w:tcPr>
          <w:p w14:paraId="7EE22042"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Indices</w:t>
            </w:r>
          </w:p>
        </w:tc>
        <w:tc>
          <w:tcPr>
            <w:tcW w:w="2516" w:type="dxa"/>
            <w:vAlign w:val="center"/>
          </w:tcPr>
          <w:p w14:paraId="43FC7305" w14:textId="4AAB2F94"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w:t>
            </w:r>
          </w:p>
        </w:tc>
        <w:tc>
          <w:tcPr>
            <w:tcW w:w="2516" w:type="dxa"/>
          </w:tcPr>
          <w:p w14:paraId="46D56826" w14:textId="4B2D5C2A"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1:20</w:t>
            </w:r>
          </w:p>
        </w:tc>
        <w:tc>
          <w:tcPr>
            <w:tcW w:w="2516" w:type="dxa"/>
          </w:tcPr>
          <w:p w14:paraId="040951C6" w14:textId="71904C4B"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1:20</w:t>
            </w:r>
          </w:p>
        </w:tc>
      </w:tr>
      <w:tr w:rsidR="00AF63EC" w14:paraId="10647F80" w14:textId="77777777" w:rsidTr="00F06FC2">
        <w:tc>
          <w:tcPr>
            <w:tcW w:w="2516" w:type="dxa"/>
            <w:vAlign w:val="center"/>
          </w:tcPr>
          <w:p w14:paraId="4022B329" w14:textId="7E764CCE"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Oil</w:t>
            </w:r>
          </w:p>
        </w:tc>
        <w:tc>
          <w:tcPr>
            <w:tcW w:w="2516" w:type="dxa"/>
            <w:vAlign w:val="center"/>
          </w:tcPr>
          <w:p w14:paraId="0E3FF0C2" w14:textId="244D1031"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w:t>
            </w:r>
          </w:p>
        </w:tc>
        <w:tc>
          <w:tcPr>
            <w:tcW w:w="2516" w:type="dxa"/>
          </w:tcPr>
          <w:p w14:paraId="4603F32E" w14:textId="1ED5E595"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sidR="00D841FE">
              <w:rPr>
                <w:rFonts w:ascii="微软雅黑 Light" w:eastAsia="微软雅黑 Light" w:hAnsi="微软雅黑 Light" w:hint="eastAsia"/>
                <w:b/>
                <w:bCs/>
                <w:lang w:eastAsia="zh-CN"/>
              </w:rPr>
              <w:t>100</w:t>
            </w:r>
          </w:p>
        </w:tc>
        <w:tc>
          <w:tcPr>
            <w:tcW w:w="2516" w:type="dxa"/>
          </w:tcPr>
          <w:p w14:paraId="2095081A" w14:textId="0EDBD2C9"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sidR="00D841FE">
              <w:rPr>
                <w:rFonts w:ascii="微软雅黑 Light" w:eastAsia="微软雅黑 Light" w:hAnsi="微软雅黑 Light" w:hint="eastAsia"/>
                <w:b/>
                <w:bCs/>
                <w:lang w:eastAsia="zh-CN"/>
              </w:rPr>
              <w:t>100</w:t>
            </w:r>
          </w:p>
        </w:tc>
      </w:tr>
      <w:tr w:rsidR="00AF63EC" w14:paraId="62727C0C" w14:textId="77777777" w:rsidTr="00F06FC2">
        <w:tc>
          <w:tcPr>
            <w:tcW w:w="2516" w:type="dxa"/>
            <w:vAlign w:val="center"/>
          </w:tcPr>
          <w:p w14:paraId="7A7C11DC" w14:textId="20048390"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Sliver</w:t>
            </w:r>
          </w:p>
        </w:tc>
        <w:tc>
          <w:tcPr>
            <w:tcW w:w="2516" w:type="dxa"/>
            <w:vAlign w:val="center"/>
          </w:tcPr>
          <w:p w14:paraId="04C62641" w14:textId="3B72EFF5"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w:t>
            </w:r>
          </w:p>
        </w:tc>
        <w:tc>
          <w:tcPr>
            <w:tcW w:w="2516" w:type="dxa"/>
          </w:tcPr>
          <w:p w14:paraId="40B62C82" w14:textId="71BBCF25"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sidR="00C7339E" w:rsidRPr="00C7339E">
              <w:rPr>
                <w:rFonts w:ascii="微软雅黑 Light" w:eastAsia="微软雅黑 Light" w:hAnsi="微软雅黑 Light" w:hint="eastAsia"/>
                <w:b/>
                <w:bCs/>
                <w:lang w:eastAsia="zh-CN"/>
              </w:rPr>
              <w:t>100</w:t>
            </w:r>
          </w:p>
        </w:tc>
        <w:tc>
          <w:tcPr>
            <w:tcW w:w="2516" w:type="dxa"/>
          </w:tcPr>
          <w:p w14:paraId="27D6471A" w14:textId="05BF2775"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sidR="00C7339E" w:rsidRPr="00C7339E">
              <w:rPr>
                <w:rFonts w:ascii="微软雅黑 Light" w:eastAsia="微软雅黑 Light" w:hAnsi="微软雅黑 Light" w:hint="eastAsia"/>
                <w:b/>
                <w:bCs/>
                <w:lang w:eastAsia="zh-CN"/>
              </w:rPr>
              <w:t>100</w:t>
            </w:r>
          </w:p>
        </w:tc>
      </w:tr>
      <w:tr w:rsidR="00AF63EC" w14:paraId="4F360A92" w14:textId="77777777" w:rsidTr="00F06FC2">
        <w:tc>
          <w:tcPr>
            <w:tcW w:w="2516" w:type="dxa"/>
            <w:vMerge w:val="restart"/>
            <w:vAlign w:val="center"/>
          </w:tcPr>
          <w:p w14:paraId="6F0E97B3" w14:textId="567A9BE5"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Gold</w:t>
            </w:r>
          </w:p>
        </w:tc>
        <w:tc>
          <w:tcPr>
            <w:tcW w:w="2516" w:type="dxa"/>
            <w:vAlign w:val="center"/>
          </w:tcPr>
          <w:p w14:paraId="1DDE9AFA" w14:textId="327514FD"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7FEC207D" w14:textId="76877685" w:rsidR="00C7339E" w:rsidRPr="00C7339E" w:rsidRDefault="00AF63EC" w:rsidP="00C7339E">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w:t>
            </w:r>
            <w:r w:rsidR="00C7339E" w:rsidRPr="00C7339E">
              <w:rPr>
                <w:rFonts w:ascii="微软雅黑 Light" w:eastAsia="微软雅黑 Light" w:hAnsi="微软雅黑 Light" w:hint="eastAsia"/>
                <w:b/>
                <w:bCs/>
                <w:lang w:eastAsia="zh-CN"/>
              </w:rPr>
              <w:t>25</w:t>
            </w:r>
            <w:r w:rsidR="00C7339E" w:rsidRPr="00C7339E">
              <w:rPr>
                <w:rFonts w:ascii="微软雅黑 Light" w:eastAsia="微软雅黑 Light" w:hAnsi="微软雅黑 Light"/>
                <w:b/>
                <w:bCs/>
                <w:lang w:eastAsia="zh-CN"/>
              </w:rPr>
              <w:br/>
            </w:r>
            <w:r w:rsidR="00C7339E" w:rsidRPr="00C7339E">
              <w:rPr>
                <w:rFonts w:ascii="微软雅黑 Light" w:eastAsia="微软雅黑 Light" w:hAnsi="微软雅黑 Light" w:hint="eastAsia"/>
                <w:b/>
                <w:bCs/>
                <w:lang w:eastAsia="zh-CN"/>
              </w:rPr>
              <w:t>1:50</w:t>
            </w:r>
            <w:r w:rsidR="00C7339E" w:rsidRPr="00C7339E">
              <w:rPr>
                <w:rFonts w:ascii="微软雅黑 Light" w:eastAsia="微软雅黑 Light" w:hAnsi="微软雅黑 Light"/>
                <w:b/>
                <w:bCs/>
                <w:lang w:eastAsia="zh-CN"/>
              </w:rPr>
              <w:br/>
            </w:r>
            <w:r w:rsidR="00C7339E" w:rsidRPr="00C7339E">
              <w:rPr>
                <w:rFonts w:ascii="微软雅黑 Light" w:eastAsia="微软雅黑 Light" w:hAnsi="微软雅黑 Light" w:hint="eastAsia"/>
                <w:b/>
                <w:bCs/>
                <w:lang w:eastAsia="zh-CN"/>
              </w:rPr>
              <w:t>1:100</w:t>
            </w:r>
            <w:r w:rsidR="00C7339E" w:rsidRPr="00C7339E">
              <w:rPr>
                <w:rFonts w:ascii="微软雅黑 Light" w:eastAsia="微软雅黑 Light" w:hAnsi="微软雅黑 Light"/>
                <w:b/>
                <w:bCs/>
                <w:lang w:eastAsia="zh-CN"/>
              </w:rPr>
              <w:br/>
            </w:r>
            <w:r w:rsidR="00C7339E" w:rsidRPr="00C7339E">
              <w:rPr>
                <w:rFonts w:ascii="微软雅黑 Light" w:eastAsia="微软雅黑 Light" w:hAnsi="微软雅黑 Light" w:hint="eastAsia"/>
                <w:b/>
                <w:bCs/>
                <w:lang w:eastAsia="zh-CN"/>
              </w:rPr>
              <w:t>1:250</w:t>
            </w:r>
            <w:r w:rsidR="00C7339E" w:rsidRPr="00C7339E">
              <w:rPr>
                <w:rFonts w:ascii="微软雅黑 Light" w:eastAsia="微软雅黑 Light" w:hAnsi="微软雅黑 Light"/>
                <w:b/>
                <w:bCs/>
                <w:lang w:eastAsia="zh-CN"/>
              </w:rPr>
              <w:br/>
            </w:r>
            <w:r w:rsidR="00C7339E" w:rsidRPr="00C7339E">
              <w:rPr>
                <w:rFonts w:ascii="微软雅黑 Light" w:eastAsia="微软雅黑 Light" w:hAnsi="微软雅黑 Light" w:hint="eastAsia"/>
                <w:b/>
                <w:bCs/>
                <w:lang w:eastAsia="zh-CN"/>
              </w:rPr>
              <w:t>1:400</w:t>
            </w:r>
            <w:r w:rsidR="00C7339E" w:rsidRPr="00C7339E">
              <w:rPr>
                <w:rFonts w:ascii="微软雅黑 Light" w:eastAsia="微软雅黑 Light" w:hAnsi="微软雅黑 Light"/>
                <w:b/>
                <w:bCs/>
                <w:lang w:eastAsia="zh-CN"/>
              </w:rPr>
              <w:br/>
            </w:r>
            <w:r w:rsidR="00C7339E" w:rsidRPr="00C7339E">
              <w:rPr>
                <w:rFonts w:ascii="微软雅黑 Light" w:eastAsia="微软雅黑 Light" w:hAnsi="微软雅黑 Light" w:hint="eastAsia"/>
                <w:b/>
                <w:bCs/>
                <w:lang w:eastAsia="zh-CN"/>
              </w:rPr>
              <w:t>1:1000</w:t>
            </w:r>
          </w:p>
        </w:tc>
        <w:tc>
          <w:tcPr>
            <w:tcW w:w="2516" w:type="dxa"/>
          </w:tcPr>
          <w:p w14:paraId="20A75A0B" w14:textId="7C923928"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1:500</w:t>
            </w:r>
          </w:p>
        </w:tc>
      </w:tr>
      <w:tr w:rsidR="00AF63EC" w14:paraId="4449C259" w14:textId="77777777" w:rsidTr="00F06FC2">
        <w:tc>
          <w:tcPr>
            <w:tcW w:w="2516" w:type="dxa"/>
            <w:vMerge/>
            <w:vAlign w:val="center"/>
          </w:tcPr>
          <w:p w14:paraId="79EC9582"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0430844E" w14:textId="746D51BF"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5450635A" w14:textId="60586AB2"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1:400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1:500</w:t>
            </w:r>
          </w:p>
        </w:tc>
        <w:tc>
          <w:tcPr>
            <w:tcW w:w="2516" w:type="dxa"/>
          </w:tcPr>
          <w:p w14:paraId="2B004452" w14:textId="7E227DB6"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p>
        </w:tc>
      </w:tr>
      <w:tr w:rsidR="00AF63EC" w14:paraId="516C8938" w14:textId="77777777" w:rsidTr="00F06FC2">
        <w:tc>
          <w:tcPr>
            <w:tcW w:w="2516" w:type="dxa"/>
            <w:vMerge/>
            <w:vAlign w:val="center"/>
          </w:tcPr>
          <w:p w14:paraId="03444D27"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6E507535" w14:textId="086B7941"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w:t>
            </w:r>
          </w:p>
        </w:tc>
        <w:tc>
          <w:tcPr>
            <w:tcW w:w="2516" w:type="dxa"/>
          </w:tcPr>
          <w:p w14:paraId="1FAD5A42" w14:textId="42B83EA7"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1:400</w:t>
            </w:r>
          </w:p>
        </w:tc>
        <w:tc>
          <w:tcPr>
            <w:tcW w:w="2516" w:type="dxa"/>
          </w:tcPr>
          <w:p w14:paraId="586C6506" w14:textId="6F09BDFE"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1:200</w:t>
            </w:r>
          </w:p>
        </w:tc>
      </w:tr>
      <w:tr w:rsidR="00AF63EC" w14:paraId="512CAD6A" w14:textId="77777777" w:rsidTr="00F06FC2">
        <w:tc>
          <w:tcPr>
            <w:tcW w:w="2516" w:type="dxa"/>
            <w:vMerge/>
            <w:vAlign w:val="center"/>
          </w:tcPr>
          <w:p w14:paraId="4BD914B7"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61FC957B" w14:textId="24182179"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≥50000</w:t>
            </w:r>
          </w:p>
        </w:tc>
        <w:tc>
          <w:tcPr>
            <w:tcW w:w="2516" w:type="dxa"/>
          </w:tcPr>
          <w:p w14:paraId="31FF8A31" w14:textId="5D22CD0D"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lastRenderedPageBreak/>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1:250</w:t>
            </w:r>
          </w:p>
        </w:tc>
        <w:tc>
          <w:tcPr>
            <w:tcW w:w="2516" w:type="dxa"/>
          </w:tcPr>
          <w:p w14:paraId="336552F7" w14:textId="0DF94A92"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lastRenderedPageBreak/>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lastRenderedPageBreak/>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p>
        </w:tc>
      </w:tr>
      <w:tr w:rsidR="00AF63EC" w14:paraId="170B6A55" w14:textId="77777777" w:rsidTr="00F06FC2">
        <w:tc>
          <w:tcPr>
            <w:tcW w:w="2516" w:type="dxa"/>
            <w:vMerge/>
            <w:vAlign w:val="center"/>
          </w:tcPr>
          <w:p w14:paraId="5526C8E0"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4BF509D9" w14:textId="28224CCF"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≥100000</w:t>
            </w:r>
          </w:p>
        </w:tc>
        <w:tc>
          <w:tcPr>
            <w:tcW w:w="2516" w:type="dxa"/>
          </w:tcPr>
          <w:p w14:paraId="1287A6D2" w14:textId="4563E72B"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p>
        </w:tc>
        <w:tc>
          <w:tcPr>
            <w:tcW w:w="2516" w:type="dxa"/>
          </w:tcPr>
          <w:p w14:paraId="791789B9" w14:textId="12B14E90"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1:100</w:t>
            </w:r>
          </w:p>
        </w:tc>
      </w:tr>
      <w:tr w:rsidR="00AF63EC" w14:paraId="73C5E4A7" w14:textId="77777777" w:rsidTr="00F06FC2">
        <w:tc>
          <w:tcPr>
            <w:tcW w:w="2516" w:type="dxa"/>
            <w:vMerge/>
            <w:vAlign w:val="center"/>
          </w:tcPr>
          <w:p w14:paraId="2BFAF68D"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55D1577D" w14:textId="7C6DAF08"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≥150000</w:t>
            </w:r>
          </w:p>
        </w:tc>
        <w:tc>
          <w:tcPr>
            <w:tcW w:w="2516" w:type="dxa"/>
          </w:tcPr>
          <w:p w14:paraId="5B162F33" w14:textId="64312A09"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p>
        </w:tc>
        <w:tc>
          <w:tcPr>
            <w:tcW w:w="2516" w:type="dxa"/>
          </w:tcPr>
          <w:p w14:paraId="7D1D9ABB" w14:textId="3F1E49E4"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r w:rsidRPr="00C7339E">
              <w:rPr>
                <w:rFonts w:ascii="微软雅黑 Light" w:eastAsia="微软雅黑 Light" w:hAnsi="微软雅黑 Light"/>
                <w:b/>
                <w:bCs/>
                <w:lang w:eastAsia="zh-CN"/>
              </w:rPr>
              <w:br/>
            </w:r>
            <w:r w:rsidRPr="00C7339E">
              <w:rPr>
                <w:rFonts w:ascii="微软雅黑 Light" w:eastAsia="微软雅黑 Light" w:hAnsi="微软雅黑 Light" w:hint="eastAsia"/>
                <w:b/>
                <w:bCs/>
                <w:lang w:eastAsia="zh-CN"/>
              </w:rPr>
              <w:t>1:50</w:t>
            </w:r>
          </w:p>
        </w:tc>
      </w:tr>
      <w:tr w:rsidR="00AF63EC" w14:paraId="47A70E7A" w14:textId="77777777" w:rsidTr="00F06FC2">
        <w:tc>
          <w:tcPr>
            <w:tcW w:w="2516" w:type="dxa"/>
            <w:vMerge/>
            <w:vAlign w:val="center"/>
          </w:tcPr>
          <w:p w14:paraId="452A0114"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77784696" w14:textId="3C5B66A5"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≥2000000</w:t>
            </w:r>
          </w:p>
        </w:tc>
        <w:tc>
          <w:tcPr>
            <w:tcW w:w="2516" w:type="dxa"/>
          </w:tcPr>
          <w:p w14:paraId="5C38DF07" w14:textId="69D8FDF2"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p>
        </w:tc>
        <w:tc>
          <w:tcPr>
            <w:tcW w:w="2516" w:type="dxa"/>
          </w:tcPr>
          <w:p w14:paraId="0CD0F72C" w14:textId="2F0F4E3F"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1:25</w:t>
            </w:r>
          </w:p>
        </w:tc>
      </w:tr>
      <w:tr w:rsidR="00AF63EC" w14:paraId="78AD8F62" w14:textId="77777777" w:rsidTr="00F06FC2">
        <w:tc>
          <w:tcPr>
            <w:tcW w:w="2516" w:type="dxa"/>
            <w:vMerge w:val="restart"/>
            <w:vAlign w:val="center"/>
          </w:tcPr>
          <w:p w14:paraId="6EE340B3" w14:textId="3CD2E59D"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Forex</w:t>
            </w:r>
          </w:p>
        </w:tc>
        <w:tc>
          <w:tcPr>
            <w:tcW w:w="2516" w:type="dxa"/>
            <w:vAlign w:val="center"/>
          </w:tcPr>
          <w:p w14:paraId="1F35FFD3" w14:textId="6D4FFA9B"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75A41199" w14:textId="45069366"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1:800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1:2000</w:t>
            </w:r>
          </w:p>
        </w:tc>
        <w:tc>
          <w:tcPr>
            <w:tcW w:w="2516" w:type="dxa"/>
          </w:tcPr>
          <w:p w14:paraId="32441384" w14:textId="03B31F55" w:rsidR="00C7339E" w:rsidRPr="00C7339E" w:rsidRDefault="00C7339E" w:rsidP="00C7339E">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1:400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1:1000</w:t>
            </w:r>
          </w:p>
        </w:tc>
      </w:tr>
      <w:tr w:rsidR="00AF63EC" w14:paraId="75324D1C" w14:textId="77777777" w:rsidTr="00F06FC2">
        <w:tc>
          <w:tcPr>
            <w:tcW w:w="2516" w:type="dxa"/>
            <w:vMerge/>
            <w:vAlign w:val="center"/>
          </w:tcPr>
          <w:p w14:paraId="35629A0A"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22BC39CA" w14:textId="38414492"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w:t>
            </w:r>
          </w:p>
        </w:tc>
        <w:tc>
          <w:tcPr>
            <w:tcW w:w="2516" w:type="dxa"/>
          </w:tcPr>
          <w:p w14:paraId="2A01D127" w14:textId="77AC176D"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1:800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1:1000</w:t>
            </w:r>
          </w:p>
        </w:tc>
        <w:tc>
          <w:tcPr>
            <w:tcW w:w="2516" w:type="dxa"/>
          </w:tcPr>
          <w:p w14:paraId="22C185AF" w14:textId="3442E972"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1:400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p>
        </w:tc>
      </w:tr>
      <w:tr w:rsidR="00AF63EC" w14:paraId="17DDCB71" w14:textId="77777777" w:rsidTr="00F06FC2">
        <w:tc>
          <w:tcPr>
            <w:tcW w:w="2516" w:type="dxa"/>
            <w:vMerge/>
            <w:vAlign w:val="center"/>
          </w:tcPr>
          <w:p w14:paraId="25C51067"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1413022F" w14:textId="3F27F1F2"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w:t>
            </w:r>
          </w:p>
        </w:tc>
        <w:tc>
          <w:tcPr>
            <w:tcW w:w="2516" w:type="dxa"/>
          </w:tcPr>
          <w:p w14:paraId="3847727B" w14:textId="50CDDB10"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1:800</w:t>
            </w:r>
          </w:p>
        </w:tc>
        <w:tc>
          <w:tcPr>
            <w:tcW w:w="2516" w:type="dxa"/>
          </w:tcPr>
          <w:p w14:paraId="27FFB55F" w14:textId="13661A0B"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1:400</w:t>
            </w:r>
          </w:p>
        </w:tc>
      </w:tr>
      <w:tr w:rsidR="00AF63EC" w14:paraId="218ADD34" w14:textId="77777777" w:rsidTr="00F06FC2">
        <w:tc>
          <w:tcPr>
            <w:tcW w:w="2516" w:type="dxa"/>
            <w:vMerge/>
            <w:vAlign w:val="center"/>
          </w:tcPr>
          <w:p w14:paraId="32D25DEE"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4B6A4FEC" w14:textId="135265DB"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≥50000</w:t>
            </w:r>
          </w:p>
        </w:tc>
        <w:tc>
          <w:tcPr>
            <w:tcW w:w="2516" w:type="dxa"/>
          </w:tcPr>
          <w:p w14:paraId="4888F01E" w14:textId="10DAE250"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1:500</w:t>
            </w:r>
          </w:p>
        </w:tc>
        <w:tc>
          <w:tcPr>
            <w:tcW w:w="2516" w:type="dxa"/>
          </w:tcPr>
          <w:p w14:paraId="48709181" w14:textId="67E7EBE2"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p>
        </w:tc>
      </w:tr>
      <w:tr w:rsidR="00AF63EC" w14:paraId="1496C4C7" w14:textId="77777777" w:rsidTr="00F06FC2">
        <w:tc>
          <w:tcPr>
            <w:tcW w:w="2516" w:type="dxa"/>
            <w:vMerge/>
            <w:vAlign w:val="center"/>
          </w:tcPr>
          <w:p w14:paraId="6754D779"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CDB3704" w14:textId="3048CD9B"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≥100000</w:t>
            </w:r>
          </w:p>
        </w:tc>
        <w:tc>
          <w:tcPr>
            <w:tcW w:w="2516" w:type="dxa"/>
          </w:tcPr>
          <w:p w14:paraId="40DA6A2C" w14:textId="3041C959"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p>
        </w:tc>
        <w:tc>
          <w:tcPr>
            <w:tcW w:w="2516" w:type="dxa"/>
          </w:tcPr>
          <w:p w14:paraId="1627EC09" w14:textId="47513908"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1:200</w:t>
            </w:r>
          </w:p>
        </w:tc>
      </w:tr>
      <w:tr w:rsidR="00AF63EC" w14:paraId="7AB7954D" w14:textId="77777777" w:rsidTr="00F06FC2">
        <w:tc>
          <w:tcPr>
            <w:tcW w:w="2516" w:type="dxa"/>
            <w:vMerge/>
            <w:vAlign w:val="center"/>
          </w:tcPr>
          <w:p w14:paraId="09E1CA17"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36128BBA" w14:textId="4269A4DA"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≥150000</w:t>
            </w:r>
          </w:p>
        </w:tc>
        <w:tc>
          <w:tcPr>
            <w:tcW w:w="2516" w:type="dxa"/>
          </w:tcPr>
          <w:p w14:paraId="00874154" w14:textId="3407C630"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p>
        </w:tc>
        <w:tc>
          <w:tcPr>
            <w:tcW w:w="2516" w:type="dxa"/>
          </w:tcPr>
          <w:p w14:paraId="5FE1F66D" w14:textId="2807A87B"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r>
              <w:rPr>
                <w:rFonts w:ascii="微软雅黑 Light" w:eastAsia="微软雅黑 Light" w:hAnsi="微软雅黑 Light"/>
                <w:b/>
                <w:bCs/>
                <w:lang w:eastAsia="zh-CN"/>
              </w:rPr>
              <w:br/>
            </w:r>
            <w:r>
              <w:rPr>
                <w:rFonts w:ascii="微软雅黑 Light" w:eastAsia="微软雅黑 Light" w:hAnsi="微软雅黑 Light" w:hint="eastAsia"/>
                <w:b/>
                <w:bCs/>
                <w:lang w:eastAsia="zh-CN"/>
              </w:rPr>
              <w:t>1:100</w:t>
            </w:r>
          </w:p>
        </w:tc>
      </w:tr>
      <w:tr w:rsidR="00AF63EC" w14:paraId="6DA0B837" w14:textId="77777777" w:rsidTr="00F06FC2">
        <w:tc>
          <w:tcPr>
            <w:tcW w:w="2516" w:type="dxa"/>
            <w:vMerge/>
            <w:vAlign w:val="center"/>
          </w:tcPr>
          <w:p w14:paraId="6FE7B13E" w14:textId="77777777"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p>
        </w:tc>
        <w:tc>
          <w:tcPr>
            <w:tcW w:w="2516" w:type="dxa"/>
            <w:vAlign w:val="center"/>
          </w:tcPr>
          <w:p w14:paraId="2687848C" w14:textId="65268419" w:rsidR="00AF63EC" w:rsidRPr="00C7339E" w:rsidRDefault="00AF63EC" w:rsidP="00AF63EC">
            <w:pPr>
              <w:pStyle w:val="a3"/>
              <w:spacing w:before="200"/>
              <w:ind w:left="0"/>
              <w:jc w:val="center"/>
              <w:rPr>
                <w:rFonts w:ascii="微软雅黑 Light" w:eastAsia="微软雅黑 Light" w:hAnsi="微软雅黑 Light" w:hint="eastAsia"/>
                <w:b/>
                <w:bCs/>
                <w:lang w:eastAsia="zh-CN"/>
              </w:rPr>
            </w:pPr>
            <w:r w:rsidRPr="00C7339E">
              <w:rPr>
                <w:rFonts w:ascii="微软雅黑 Light" w:eastAsia="微软雅黑 Light" w:hAnsi="微软雅黑 Light" w:hint="eastAsia"/>
                <w:b/>
                <w:bCs/>
                <w:lang w:eastAsia="zh-CN"/>
              </w:rPr>
              <w:t>≥200000</w:t>
            </w:r>
          </w:p>
        </w:tc>
        <w:tc>
          <w:tcPr>
            <w:tcW w:w="2516" w:type="dxa"/>
          </w:tcPr>
          <w:p w14:paraId="37F4AD6D" w14:textId="4D4C6E53"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p>
        </w:tc>
        <w:tc>
          <w:tcPr>
            <w:tcW w:w="2516" w:type="dxa"/>
          </w:tcPr>
          <w:p w14:paraId="40ADFBC6" w14:textId="08314D8F" w:rsidR="00AF63EC" w:rsidRPr="00C7339E" w:rsidRDefault="00C7339E" w:rsidP="00AF63EC">
            <w:pPr>
              <w:pStyle w:val="a3"/>
              <w:spacing w:before="200"/>
              <w:ind w:left="0"/>
              <w:jc w:val="center"/>
              <w:rPr>
                <w:rFonts w:ascii="微软雅黑 Light" w:eastAsia="微软雅黑 Light" w:hAnsi="微软雅黑 Light" w:hint="eastAsia"/>
                <w:b/>
                <w:bCs/>
                <w:lang w:eastAsia="zh-CN"/>
              </w:rPr>
            </w:pPr>
            <w:r>
              <w:rPr>
                <w:rFonts w:ascii="微软雅黑 Light" w:eastAsia="微软雅黑 Light" w:hAnsi="微软雅黑 Light" w:hint="eastAsia"/>
                <w:b/>
                <w:bCs/>
                <w:lang w:eastAsia="zh-CN"/>
              </w:rPr>
              <w:t>1:50</w:t>
            </w:r>
          </w:p>
        </w:tc>
      </w:tr>
      <w:bookmarkEnd w:id="0"/>
    </w:tbl>
    <w:p w14:paraId="0C7ABC89" w14:textId="6CC67202" w:rsidR="0091587B" w:rsidRDefault="0091587B">
      <w:pPr>
        <w:pStyle w:val="a3"/>
        <w:spacing w:line="276" w:lineRule="auto"/>
        <w:ind w:right="82"/>
        <w:rPr>
          <w:rFonts w:eastAsiaTheme="minorEastAsia"/>
          <w:lang w:eastAsia="zh-CN"/>
        </w:rPr>
      </w:pPr>
    </w:p>
    <w:p w14:paraId="1410A1F4" w14:textId="77777777" w:rsidR="0091587B" w:rsidRDefault="0091587B">
      <w:pPr>
        <w:rPr>
          <w:rFonts w:eastAsiaTheme="minorEastAsia"/>
          <w:lang w:eastAsia="zh-CN"/>
        </w:rPr>
      </w:pPr>
      <w:r>
        <w:rPr>
          <w:rFonts w:eastAsiaTheme="minorEastAsia"/>
          <w:lang w:eastAsia="zh-CN"/>
        </w:rPr>
        <w:br w:type="page"/>
      </w:r>
    </w:p>
    <w:p w14:paraId="545789A1"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3D47C506"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055E415D"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0BFE3985"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32F167A7"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72223E51"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p>
    <w:p w14:paraId="26BDA2A9" w14:textId="77777777" w:rsidR="0091587B" w:rsidRDefault="0091587B" w:rsidP="0091587B">
      <w:pPr>
        <w:spacing w:before="20" w:line="333" w:lineRule="auto"/>
        <w:ind w:left="14" w:right="14"/>
        <w:jc w:val="both"/>
        <w:rPr>
          <w:rFonts w:ascii="微软雅黑" w:eastAsia="微软雅黑" w:hAnsi="微软雅黑" w:cs="苹方 常规" w:hint="eastAsia"/>
          <w:color w:val="4A443E"/>
          <w:spacing w:val="1"/>
          <w:kern w:val="24"/>
          <w:sz w:val="16"/>
          <w:szCs w:val="16"/>
          <w:lang w:eastAsia="zh-CN"/>
        </w:rPr>
      </w:pPr>
      <w:r w:rsidRPr="002C5045">
        <w:rPr>
          <w:rFonts w:ascii="微软雅黑" w:eastAsia="微软雅黑" w:hAnsi="微软雅黑" w:cs="苹方 常规"/>
          <w:color w:val="4A443E"/>
          <w:spacing w:val="1"/>
          <w:kern w:val="24"/>
          <w:sz w:val="16"/>
          <w:szCs w:val="16"/>
          <w:lang w:eastAsia="zh-CN"/>
        </w:rPr>
        <w:t xml:space="preserve">High Risk Investment Warning: CFDs are complex instruments and come with a high risk of losing money rapidly due to leverage. 68% of retail </w:t>
      </w:r>
      <w:proofErr w:type="gramStart"/>
      <w:r w:rsidRPr="002C5045">
        <w:rPr>
          <w:rFonts w:ascii="微软雅黑" w:eastAsia="微软雅黑" w:hAnsi="微软雅黑" w:cs="苹方 常规"/>
          <w:color w:val="4A443E"/>
          <w:spacing w:val="1"/>
          <w:kern w:val="24"/>
          <w:sz w:val="16"/>
          <w:szCs w:val="16"/>
          <w:lang w:eastAsia="zh-CN"/>
        </w:rPr>
        <w:t>investor accounts</w:t>
      </w:r>
      <w:proofErr w:type="gramEnd"/>
      <w:r w:rsidRPr="002C5045">
        <w:rPr>
          <w:rFonts w:ascii="微软雅黑" w:eastAsia="微软雅黑" w:hAnsi="微软雅黑" w:cs="苹方 常规"/>
          <w:color w:val="4A443E"/>
          <w:spacing w:val="1"/>
          <w:kern w:val="24"/>
          <w:sz w:val="16"/>
          <w:szCs w:val="16"/>
          <w:lang w:eastAsia="zh-CN"/>
        </w:rPr>
        <w:t xml:space="preserve"> lose money when trading CFDs with this provider. You should consider whether you understand how CFDs work and whether you can afford to take the high risk of losing your money. For more </w:t>
      </w:r>
      <w:proofErr w:type="gramStart"/>
      <w:r w:rsidRPr="002C5045">
        <w:rPr>
          <w:rFonts w:ascii="微软雅黑" w:eastAsia="微软雅黑" w:hAnsi="微软雅黑" w:cs="苹方 常规"/>
          <w:color w:val="4A443E"/>
          <w:spacing w:val="1"/>
          <w:kern w:val="24"/>
          <w:sz w:val="16"/>
          <w:szCs w:val="16"/>
          <w:lang w:eastAsia="zh-CN"/>
        </w:rPr>
        <w:t>information</w:t>
      </w:r>
      <w:proofErr w:type="gramEnd"/>
      <w:r w:rsidRPr="002C5045">
        <w:rPr>
          <w:rFonts w:ascii="微软雅黑" w:eastAsia="微软雅黑" w:hAnsi="微软雅黑" w:cs="苹方 常规"/>
          <w:color w:val="4A443E"/>
          <w:spacing w:val="1"/>
          <w:kern w:val="24"/>
          <w:sz w:val="16"/>
          <w:szCs w:val="16"/>
          <w:lang w:eastAsia="zh-CN"/>
        </w:rPr>
        <w:t xml:space="preserve"> please refer to IEXS’s Risk Disclosure.</w:t>
      </w:r>
    </w:p>
    <w:p w14:paraId="54160356" w14:textId="77777777" w:rsidR="0091587B" w:rsidRPr="002C5045" w:rsidRDefault="0091587B" w:rsidP="0091587B">
      <w:pPr>
        <w:spacing w:before="20" w:line="333" w:lineRule="auto"/>
        <w:ind w:right="14"/>
        <w:jc w:val="both"/>
        <w:rPr>
          <w:rFonts w:ascii="微软雅黑" w:eastAsia="微软雅黑" w:hAnsi="微软雅黑" w:cs="苹方 常规" w:hint="eastAsia"/>
          <w:color w:val="4A443E"/>
          <w:spacing w:val="1"/>
          <w:kern w:val="24"/>
          <w:sz w:val="16"/>
          <w:szCs w:val="16"/>
          <w:lang w:eastAsia="zh-CN"/>
        </w:rPr>
      </w:pPr>
    </w:p>
    <w:p w14:paraId="6B8AE131" w14:textId="77777777" w:rsidR="0091587B" w:rsidRPr="002C5045" w:rsidRDefault="0091587B" w:rsidP="0091587B">
      <w:pPr>
        <w:pStyle w:val="a6"/>
        <w:numPr>
          <w:ilvl w:val="0"/>
          <w:numId w:val="1"/>
        </w:numPr>
        <w:spacing w:line="298" w:lineRule="auto"/>
        <w:rPr>
          <w:rFonts w:ascii="微软雅黑" w:eastAsia="微软雅黑" w:hAnsi="微软雅黑" w:cs="苹方 常规" w:hint="eastAsia"/>
          <w:color w:val="4A443E"/>
          <w:kern w:val="24"/>
          <w:sz w:val="16"/>
          <w:szCs w:val="16"/>
        </w:rPr>
      </w:pPr>
      <w:r w:rsidRPr="002C5045">
        <w:rPr>
          <w:rFonts w:ascii="微软雅黑" w:eastAsia="微软雅黑" w:hAnsi="微软雅黑" w:cs="苹方 常规"/>
          <w:color w:val="4A443E"/>
          <w:kern w:val="24"/>
          <w:sz w:val="16"/>
          <w:szCs w:val="16"/>
        </w:rPr>
        <w:t>VIEXS (UK) Professional Clients Only – Vision Integrated Exchange LTD is regulated by the Financial Conduct Authority (FCA) reference number 923324. Jurisdiction of incorporation at United Kingdom and the registered office address is 3 Beeston Place, London, UK, SW1W 0JJ.</w:t>
      </w:r>
    </w:p>
    <w:p w14:paraId="49EE04AB" w14:textId="77777777" w:rsidR="0091587B" w:rsidRPr="002C5045" w:rsidRDefault="0091587B" w:rsidP="0091587B">
      <w:pPr>
        <w:pStyle w:val="a6"/>
        <w:numPr>
          <w:ilvl w:val="0"/>
          <w:numId w:val="1"/>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lang w:eastAsia="zh-TW"/>
        </w:rPr>
        <w:t>IEXS GLOBAL PTY LTD (AUS) is authori</w:t>
      </w:r>
      <w:r w:rsidRPr="002C5045">
        <w:rPr>
          <w:rFonts w:ascii="微软雅黑" w:eastAsia="微软雅黑" w:hAnsi="微软雅黑" w:cs="苹方 常规" w:hint="eastAsia"/>
          <w:color w:val="4A443E"/>
          <w:spacing w:val="-1"/>
          <w:kern w:val="24"/>
          <w:sz w:val="16"/>
          <w:szCs w:val="16"/>
          <w:lang w:eastAsia="zh-CN"/>
        </w:rPr>
        <w:t>z</w:t>
      </w:r>
      <w:r w:rsidRPr="002C5045">
        <w:rPr>
          <w:rFonts w:ascii="微软雅黑" w:eastAsia="微软雅黑" w:hAnsi="微软雅黑" w:cs="苹方 常规"/>
          <w:color w:val="4A443E"/>
          <w:spacing w:val="-1"/>
          <w:kern w:val="24"/>
          <w:sz w:val="16"/>
          <w:szCs w:val="16"/>
          <w:lang w:eastAsia="zh-TW"/>
        </w:rPr>
        <w:t xml:space="preserve">ed and regulated by Australian Securities and Investments </w:t>
      </w:r>
      <w:proofErr w:type="gramStart"/>
      <w:r w:rsidRPr="002C5045">
        <w:rPr>
          <w:rFonts w:ascii="微软雅黑" w:eastAsia="微软雅黑" w:hAnsi="微软雅黑" w:cs="苹方 常规"/>
          <w:color w:val="4A443E"/>
          <w:spacing w:val="-1"/>
          <w:kern w:val="24"/>
          <w:sz w:val="16"/>
          <w:szCs w:val="16"/>
          <w:lang w:eastAsia="zh-TW"/>
        </w:rPr>
        <w:t>Commission(</w:t>
      </w:r>
      <w:proofErr w:type="gramEnd"/>
      <w:r w:rsidRPr="002C5045">
        <w:rPr>
          <w:rFonts w:ascii="微软雅黑" w:eastAsia="微软雅黑" w:hAnsi="微软雅黑" w:cs="苹方 常规"/>
          <w:color w:val="4A443E"/>
          <w:spacing w:val="-1"/>
          <w:kern w:val="24"/>
          <w:sz w:val="16"/>
          <w:szCs w:val="16"/>
          <w:lang w:eastAsia="zh-TW"/>
        </w:rPr>
        <w:t>ASIC), License Number: 001301063.</w:t>
      </w:r>
    </w:p>
    <w:p w14:paraId="4B35F54D" w14:textId="77777777" w:rsidR="0091587B" w:rsidRPr="002C5045" w:rsidRDefault="0091587B" w:rsidP="0091587B">
      <w:pPr>
        <w:pStyle w:val="a6"/>
        <w:numPr>
          <w:ilvl w:val="0"/>
          <w:numId w:val="1"/>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IEXS LLC (SV) Registered office address at First St Vincent Bank Ltd Building, James Street, Kingstown, St. Vincent and the Grenadines, and the regulatory number is 282 LLC 2020.</w:t>
      </w:r>
    </w:p>
    <w:p w14:paraId="70107B5D" w14:textId="5F74DDD3" w:rsidR="0091587B" w:rsidRDefault="0091587B" w:rsidP="0091587B">
      <w:pPr>
        <w:pStyle w:val="a6"/>
        <w:numPr>
          <w:ilvl w:val="0"/>
          <w:numId w:val="1"/>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 xml:space="preserve">IEXS GROUP LTD (BVI) According to BVI Business Companies Act, </w:t>
      </w:r>
      <w:proofErr w:type="spellStart"/>
      <w:r w:rsidRPr="002C5045">
        <w:rPr>
          <w:rFonts w:ascii="微软雅黑" w:eastAsia="微软雅黑" w:hAnsi="微软雅黑" w:cs="苹方 常规"/>
          <w:color w:val="4A443E"/>
          <w:spacing w:val="-1"/>
          <w:kern w:val="24"/>
          <w:sz w:val="16"/>
          <w:szCs w:val="16"/>
        </w:rPr>
        <w:t>Intershore</w:t>
      </w:r>
      <w:proofErr w:type="spellEnd"/>
      <w:r w:rsidRPr="002C5045">
        <w:rPr>
          <w:rFonts w:ascii="微软雅黑" w:eastAsia="微软雅黑" w:hAnsi="微软雅黑" w:cs="苹方 常规"/>
          <w:color w:val="4A443E"/>
          <w:spacing w:val="-1"/>
          <w:kern w:val="24"/>
          <w:sz w:val="16"/>
          <w:szCs w:val="16"/>
        </w:rPr>
        <w:t xml:space="preserve"> Chambers, Road Town, Tortola, Bri</w:t>
      </w:r>
      <w:r w:rsidRPr="002C5045">
        <w:rPr>
          <w:rFonts w:ascii="微软雅黑" w:eastAsia="微软雅黑" w:hAnsi="微软雅黑" w:cs="苹方 常规" w:hint="eastAsia"/>
          <w:color w:val="4A443E"/>
          <w:spacing w:val="-1"/>
          <w:kern w:val="24"/>
          <w:sz w:val="16"/>
          <w:szCs w:val="16"/>
          <w:lang w:eastAsia="zh-CN"/>
        </w:rPr>
        <w:t>ti</w:t>
      </w:r>
      <w:r w:rsidRPr="002C5045">
        <w:rPr>
          <w:rFonts w:ascii="微软雅黑" w:eastAsia="微软雅黑" w:hAnsi="微软雅黑" w:cs="苹方 常规"/>
          <w:color w:val="4A443E"/>
          <w:spacing w:val="-1"/>
          <w:kern w:val="24"/>
          <w:sz w:val="16"/>
          <w:szCs w:val="16"/>
        </w:rPr>
        <w:t>sh Virgin Islands.</w:t>
      </w:r>
    </w:p>
    <w:p w14:paraId="43598A4F" w14:textId="77777777" w:rsidR="0091587B" w:rsidRDefault="0091587B" w:rsidP="0091587B">
      <w:pPr>
        <w:pStyle w:val="a6"/>
        <w:numPr>
          <w:ilvl w:val="0"/>
          <w:numId w:val="1"/>
        </w:numPr>
        <w:spacing w:line="298" w:lineRule="auto"/>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IEXS GLOBAL LTD (BAH) is authorized and regulated by the Securities Commission of the Bahamas (SCB), with regulatory Number: SIA-F257.</w:t>
      </w:r>
    </w:p>
    <w:p w14:paraId="5D1BC559" w14:textId="77777777" w:rsidR="0091587B" w:rsidRPr="002C5045" w:rsidRDefault="0091587B" w:rsidP="0091587B">
      <w:pPr>
        <w:pStyle w:val="a6"/>
        <w:spacing w:line="298" w:lineRule="auto"/>
        <w:ind w:left="720"/>
        <w:rPr>
          <w:rFonts w:ascii="微软雅黑" w:eastAsia="微软雅黑" w:hAnsi="微软雅黑" w:cs="苹方 常规" w:hint="eastAsia"/>
          <w:color w:val="4A443E"/>
          <w:spacing w:val="-1"/>
          <w:kern w:val="24"/>
          <w:sz w:val="16"/>
          <w:szCs w:val="16"/>
        </w:rPr>
      </w:pPr>
    </w:p>
    <w:p w14:paraId="0D6EE092" w14:textId="77777777" w:rsidR="0091587B" w:rsidRPr="002C5045" w:rsidRDefault="0091587B" w:rsidP="0091587B">
      <w:pPr>
        <w:spacing w:line="298" w:lineRule="auto"/>
        <w:ind w:left="11" w:right="130"/>
        <w:rPr>
          <w:rFonts w:ascii="微软雅黑" w:eastAsia="微软雅黑" w:hAnsi="微软雅黑" w:cs="苹方 常规" w:hint="eastAsia"/>
          <w:color w:val="4A443E"/>
          <w:spacing w:val="1"/>
          <w:kern w:val="24"/>
          <w:sz w:val="16"/>
          <w:szCs w:val="16"/>
          <w:lang w:eastAsia="zh-CN"/>
        </w:rPr>
      </w:pPr>
      <w:r w:rsidRPr="002C5045">
        <w:rPr>
          <w:rFonts w:ascii="微软雅黑" w:eastAsia="微软雅黑" w:hAnsi="微软雅黑" w:cs="苹方 常规"/>
          <w:color w:val="4A443E"/>
          <w:spacing w:val="1"/>
          <w:kern w:val="24"/>
          <w:sz w:val="16"/>
          <w:szCs w:val="16"/>
        </w:rPr>
        <w:t>Legal: IEXS LLC is incorporated in St. Vincent &amp; the Grenadines as a Limited Liability Company with the registration number 282 LLC 2020. The objects of the Company are all subject matters not forbidden by Limited Liability Companies Act, Chapter 151 of the Revised Law of Saint Vincent and the Grenadines,2009, in particular but not exclusively all commercial, financial, lending, borrowing, trading, service activities and the participation in other enterprises as well as to provide brokerage, training and managed account services in currencies, commodities, indexes, CFDs and leveraged financial instruments.</w:t>
      </w:r>
    </w:p>
    <w:p w14:paraId="71A9F077" w14:textId="77777777" w:rsidR="0091587B" w:rsidRDefault="0091587B" w:rsidP="0091587B">
      <w:pPr>
        <w:spacing w:line="298" w:lineRule="auto"/>
        <w:ind w:left="11" w:right="130"/>
        <w:jc w:val="both"/>
        <w:rPr>
          <w:rFonts w:ascii="微软雅黑" w:eastAsia="微软雅黑" w:hAnsi="微软雅黑" w:cs="苹方 常规" w:hint="eastAsia"/>
          <w:color w:val="4A443E"/>
          <w:spacing w:val="1"/>
          <w:kern w:val="24"/>
          <w:sz w:val="16"/>
          <w:szCs w:val="16"/>
        </w:rPr>
      </w:pPr>
    </w:p>
    <w:p w14:paraId="1F7B049C" w14:textId="77777777" w:rsidR="0091587B" w:rsidRDefault="0091587B" w:rsidP="0091587B">
      <w:pPr>
        <w:spacing w:line="298" w:lineRule="auto"/>
        <w:ind w:left="11" w:right="130"/>
        <w:jc w:val="both"/>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Disclaimer: The content of this page is for information purposes only and it is not intended as a recommendation or advice. Any indication of past performance or simulated past performance included in advertisements published by IEXS is not a reliable indicator of future results. The customer carries the sole responsibility for all the businesses or investments that are carried out at IEXS.</w:t>
      </w:r>
    </w:p>
    <w:p w14:paraId="4D6CA66B" w14:textId="77777777" w:rsidR="0091587B" w:rsidRPr="002C5045" w:rsidRDefault="0091587B" w:rsidP="0091587B">
      <w:pPr>
        <w:spacing w:line="298" w:lineRule="auto"/>
        <w:ind w:left="11" w:right="130"/>
        <w:jc w:val="both"/>
        <w:rPr>
          <w:rFonts w:ascii="微软雅黑" w:eastAsia="微软雅黑" w:hAnsi="微软雅黑" w:cs="苹方 常规" w:hint="eastAsia"/>
          <w:color w:val="4A443E"/>
          <w:spacing w:val="1"/>
          <w:kern w:val="24"/>
          <w:sz w:val="16"/>
          <w:szCs w:val="16"/>
          <w:lang w:eastAsia="zh-CN"/>
        </w:rPr>
      </w:pPr>
    </w:p>
    <w:p w14:paraId="5C39373A" w14:textId="77777777" w:rsidR="0091587B" w:rsidRPr="002C5045" w:rsidRDefault="0091587B" w:rsidP="0091587B">
      <w:pPr>
        <w:spacing w:line="298" w:lineRule="auto"/>
        <w:ind w:left="11" w:right="130"/>
        <w:jc w:val="both"/>
        <w:rPr>
          <w:rFonts w:ascii="微软雅黑" w:eastAsia="微软雅黑" w:hAnsi="微软雅黑" w:cs="苹方 常规" w:hint="eastAsia"/>
          <w:color w:val="4A443E"/>
          <w:spacing w:val="1"/>
          <w:kern w:val="24"/>
          <w:sz w:val="16"/>
          <w:szCs w:val="16"/>
        </w:rPr>
      </w:pPr>
      <w:r w:rsidRPr="002C5045">
        <w:rPr>
          <w:rFonts w:ascii="微软雅黑" w:eastAsia="微软雅黑" w:hAnsi="微软雅黑" w:cs="苹方 常规"/>
          <w:color w:val="4A443E"/>
          <w:spacing w:val="1"/>
          <w:kern w:val="24"/>
          <w:sz w:val="16"/>
          <w:szCs w:val="16"/>
        </w:rPr>
        <w:t>IEXS LLC does not provide services to residents of the United States,</w:t>
      </w:r>
      <w:r>
        <w:rPr>
          <w:rFonts w:ascii="微软雅黑" w:eastAsia="微软雅黑" w:hAnsi="微软雅黑" w:cs="苹方 常规" w:hint="eastAsia"/>
          <w:color w:val="4A443E"/>
          <w:spacing w:val="1"/>
          <w:kern w:val="24"/>
          <w:sz w:val="16"/>
          <w:szCs w:val="16"/>
          <w:lang w:eastAsia="zh-CN"/>
        </w:rPr>
        <w:t xml:space="preserve"> </w:t>
      </w:r>
      <w:r w:rsidRPr="002C5045">
        <w:rPr>
          <w:rFonts w:ascii="微软雅黑" w:eastAsia="微软雅黑" w:hAnsi="微软雅黑" w:cs="苹方 常规"/>
          <w:color w:val="4A443E"/>
          <w:spacing w:val="1"/>
          <w:kern w:val="24"/>
          <w:sz w:val="16"/>
          <w:szCs w:val="16"/>
        </w:rPr>
        <w:t>Iran, North Korea, Cuba, Iraq, Syria, Taiwan China and Canada. The information on this site is not directed at residents in any country or jurisdiction where such distribution or use would be contrary to local law or regulation.</w:t>
      </w:r>
    </w:p>
    <w:p w14:paraId="74A4AE7A" w14:textId="77777777" w:rsidR="008176C7" w:rsidRPr="0091587B" w:rsidRDefault="008176C7" w:rsidP="0091587B">
      <w:pPr>
        <w:pStyle w:val="a3"/>
        <w:spacing w:line="276" w:lineRule="auto"/>
        <w:ind w:left="0" w:right="82"/>
        <w:rPr>
          <w:rFonts w:eastAsiaTheme="minorEastAsia"/>
          <w:lang w:eastAsia="zh-CN"/>
        </w:rPr>
      </w:pPr>
    </w:p>
    <w:sectPr w:rsidR="008176C7" w:rsidRPr="0091587B">
      <w:headerReference w:type="default" r:id="rId8"/>
      <w:footerReference w:type="default" r:id="rId9"/>
      <w:type w:val="continuous"/>
      <w:pgSz w:w="11920" w:h="16850"/>
      <w:pgMar w:top="2000" w:right="992" w:bottom="1080" w:left="992" w:header="521" w:footer="8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1684" w14:textId="77777777" w:rsidR="008D67A7" w:rsidRDefault="008D67A7">
      <w:r>
        <w:separator/>
      </w:r>
    </w:p>
  </w:endnote>
  <w:endnote w:type="continuationSeparator" w:id="0">
    <w:p w14:paraId="5B7D10DB" w14:textId="77777777" w:rsidR="008D67A7" w:rsidRDefault="008D6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微软雅黑 Light">
    <w:altName w:val="Microsoft YaHei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苹方 常规">
    <w:altName w:val="微软雅黑"/>
    <w:charset w:val="86"/>
    <w:family w:val="swiss"/>
    <w:pitch w:val="variable"/>
    <w:sig w:usb0="A00002FF" w:usb1="7ACFFCFB"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5919" w14:textId="021B2EDE" w:rsidR="00A94A9B" w:rsidRDefault="004F6AE4">
    <w:pPr>
      <w:pStyle w:val="a3"/>
      <w:spacing w:before="0" w:line="14" w:lineRule="auto"/>
      <w:ind w:left="0"/>
      <w:jc w:val="left"/>
      <w:rPr>
        <w:sz w:val="20"/>
      </w:rPr>
    </w:pPr>
    <w:r>
      <w:rPr>
        <w:noProof/>
        <w:sz w:val="20"/>
      </w:rPr>
      <mc:AlternateContent>
        <mc:Choice Requires="wps">
          <w:drawing>
            <wp:anchor distT="0" distB="0" distL="0" distR="0" simplePos="0" relativeHeight="251656704" behindDoc="1" locked="0" layoutInCell="1" allowOverlap="1" wp14:anchorId="54FFAB1D" wp14:editId="67E1AA73">
              <wp:simplePos x="0" y="0"/>
              <wp:positionH relativeFrom="page">
                <wp:posOffset>6702043</wp:posOffset>
              </wp:positionH>
              <wp:positionV relativeFrom="page">
                <wp:posOffset>9990835</wp:posOffset>
              </wp:positionV>
              <wp:extent cx="965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63A43882" w14:textId="13D5C097" w:rsidR="00A94A9B" w:rsidRPr="00B73523" w:rsidRDefault="00A94A9B">
                          <w:pPr>
                            <w:pStyle w:val="a3"/>
                            <w:spacing w:before="0" w:line="245" w:lineRule="exact"/>
                            <w:ind w:left="20"/>
                            <w:jc w:val="left"/>
                            <w:rPr>
                              <w:rFonts w:ascii="Calibri" w:eastAsiaTheme="minorEastAsia"/>
                              <w:lang w:eastAsia="zh-CN"/>
                            </w:rPr>
                          </w:pPr>
                        </w:p>
                      </w:txbxContent>
                    </wps:txbx>
                    <wps:bodyPr wrap="square" lIns="0" tIns="0" rIns="0" bIns="0" rtlCol="0">
                      <a:noAutofit/>
                    </wps:bodyPr>
                  </wps:wsp>
                </a:graphicData>
              </a:graphic>
            </wp:anchor>
          </w:drawing>
        </mc:Choice>
        <mc:Fallback>
          <w:pict>
            <v:shapetype w14:anchorId="54FFAB1D" id="_x0000_t202" coordsize="21600,21600" o:spt="202" path="m,l,21600r21600,l21600,xe">
              <v:stroke joinstyle="miter"/>
              <v:path gradientshapeok="t" o:connecttype="rect"/>
            </v:shapetype>
            <v:shape id="Textbox 3" o:spid="_x0000_s1027" type="#_x0000_t202" style="position:absolute;margin-left:527.7pt;margin-top:786.7pt;width:7.6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" filled="f" stroked="f">
              <v:textbox inset="0,0,0,0">
                <w:txbxContent>
                  <w:p w14:paraId="63A43882" w14:textId="13D5C097" w:rsidR="00A94A9B" w:rsidRPr="00B73523" w:rsidRDefault="00A94A9B">
                    <w:pPr>
                      <w:pStyle w:val="a3"/>
                      <w:spacing w:before="0" w:line="245" w:lineRule="exact"/>
                      <w:ind w:left="20"/>
                      <w:jc w:val="left"/>
                      <w:rPr>
                        <w:rFonts w:ascii="Calibri" w:eastAsiaTheme="minorEastAsia"/>
                        <w:lang w:eastAsia="zh-CN"/>
                      </w:rPr>
                    </w:pPr>
                  </w:p>
                </w:txbxContent>
              </v:textbox>
              <w10:wrap anchorx="page" anchory="page"/>
            </v:shape>
          </w:pict>
        </mc:Fallback>
      </mc:AlternateContent>
    </w:r>
    <w:r>
      <w:rPr>
        <w:noProof/>
        <w:sz w:val="20"/>
      </w:rPr>
      <mc:AlternateContent>
        <mc:Choice Requires="wps">
          <w:drawing>
            <wp:anchor distT="0" distB="0" distL="0" distR="0" simplePos="0" relativeHeight="487559680" behindDoc="1" locked="0" layoutInCell="1" allowOverlap="1" wp14:anchorId="14A534CE" wp14:editId="20E76F6C">
              <wp:simplePos x="0" y="0"/>
              <wp:positionH relativeFrom="page">
                <wp:posOffset>726744</wp:posOffset>
              </wp:positionH>
              <wp:positionV relativeFrom="page">
                <wp:posOffset>10013314</wp:posOffset>
              </wp:positionV>
              <wp:extent cx="215392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52400"/>
                      </a:xfrm>
                      <a:prstGeom prst="rect">
                        <a:avLst/>
                      </a:prstGeom>
                    </wps:spPr>
                    <wps:txbx>
                      <w:txbxContent>
                        <w:p w14:paraId="042731AE" w14:textId="0F73CD0A" w:rsidR="00A94A9B" w:rsidRDefault="004F6AE4">
                          <w:pPr>
                            <w:spacing w:line="223" w:lineRule="exact"/>
                            <w:ind w:left="20"/>
                            <w:rPr>
                              <w:rFonts w:ascii="Calibri"/>
                              <w:sz w:val="20"/>
                            </w:rPr>
                          </w:pPr>
                          <w:r>
                            <w:rPr>
                              <w:rFonts w:ascii="Calibri"/>
                              <w:color w:val="FF0000"/>
                              <w:sz w:val="20"/>
                            </w:rPr>
                            <w:t>RISK</w:t>
                          </w:r>
                          <w:r>
                            <w:rPr>
                              <w:rFonts w:ascii="Calibri"/>
                              <w:color w:val="FF0000"/>
                              <w:spacing w:val="-9"/>
                              <w:sz w:val="20"/>
                            </w:rPr>
                            <w:t xml:space="preserve"> </w:t>
                          </w:r>
                          <w:r>
                            <w:rPr>
                              <w:rFonts w:ascii="Calibri"/>
                              <w:color w:val="FF0000"/>
                              <w:sz w:val="20"/>
                            </w:rPr>
                            <w:t>DISCLOSURE</w:t>
                          </w:r>
                          <w:r>
                            <w:rPr>
                              <w:rFonts w:ascii="Calibri"/>
                              <w:color w:val="FF0000"/>
                              <w:spacing w:val="-4"/>
                              <w:sz w:val="20"/>
                            </w:rPr>
                            <w:t xml:space="preserve"> </w:t>
                          </w:r>
                          <w:r>
                            <w:rPr>
                              <w:rFonts w:ascii="Calibri"/>
                              <w:color w:val="FF0000"/>
                              <w:sz w:val="20"/>
                            </w:rPr>
                            <w:t>V1.3</w:t>
                          </w:r>
                          <w:r>
                            <w:rPr>
                              <w:rFonts w:ascii="Calibri"/>
                              <w:color w:val="FF0000"/>
                              <w:spacing w:val="-5"/>
                              <w:sz w:val="20"/>
                            </w:rPr>
                            <w:t xml:space="preserve"> </w:t>
                          </w:r>
                          <w:r>
                            <w:rPr>
                              <w:rFonts w:ascii="Calibri"/>
                              <w:color w:val="808080"/>
                              <w:sz w:val="20"/>
                            </w:rPr>
                            <w:t>|</w:t>
                          </w:r>
                          <w:r>
                            <w:rPr>
                              <w:rFonts w:ascii="Calibri"/>
                              <w:color w:val="808080"/>
                              <w:spacing w:val="-7"/>
                              <w:sz w:val="20"/>
                            </w:rPr>
                            <w:t xml:space="preserve"> </w:t>
                          </w:r>
                          <w:r w:rsidR="003A36AC" w:rsidRPr="00CB499F">
                            <w:rPr>
                              <w:rFonts w:ascii="Calibri"/>
                              <w:color w:val="808080"/>
                              <w:spacing w:val="-2"/>
                              <w:sz w:val="20"/>
                            </w:rPr>
                            <w:t>WWW.IEXS.</w:t>
                          </w:r>
                          <w:r w:rsidR="003A36AC" w:rsidRPr="00CB499F">
                            <w:rPr>
                              <w:rFonts w:ascii="Calibri" w:eastAsiaTheme="minorEastAsia" w:hint="eastAsia"/>
                              <w:color w:val="808080"/>
                              <w:spacing w:val="-2"/>
                              <w:sz w:val="20"/>
                              <w:lang w:eastAsia="zh-CN"/>
                            </w:rPr>
                            <w:t>ASIA</w:t>
                          </w:r>
                        </w:p>
                      </w:txbxContent>
                    </wps:txbx>
                    <wps:bodyPr wrap="square" lIns="0" tIns="0" rIns="0" bIns="0" rtlCol="0">
                      <a:noAutofit/>
                    </wps:bodyPr>
                  </wps:wsp>
                </a:graphicData>
              </a:graphic>
            </wp:anchor>
          </w:drawing>
        </mc:Choice>
        <mc:Fallback>
          <w:pict>
            <v:shape w14:anchorId="14A534CE" id="Textbox 4" o:spid="_x0000_s1028" type="#_x0000_t202" style="position:absolute;margin-left:57.2pt;margin-top:788.45pt;width:169.6pt;height:12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" filled="f" stroked="f">
              <v:textbox inset="0,0,0,0">
                <w:txbxContent>
                  <w:p w14:paraId="042731AE" w14:textId="0F73CD0A" w:rsidR="00A94A9B" w:rsidRDefault="004F6AE4">
                    <w:pPr>
                      <w:spacing w:line="223" w:lineRule="exact"/>
                      <w:ind w:left="20"/>
                      <w:rPr>
                        <w:rFonts w:ascii="Calibri"/>
                        <w:sz w:val="20"/>
                      </w:rPr>
                    </w:pPr>
                    <w:r>
                      <w:rPr>
                        <w:rFonts w:ascii="Calibri"/>
                        <w:color w:val="FF0000"/>
                        <w:sz w:val="20"/>
                      </w:rPr>
                      <w:t>RISK</w:t>
                    </w:r>
                    <w:r>
                      <w:rPr>
                        <w:rFonts w:ascii="Calibri"/>
                        <w:color w:val="FF0000"/>
                        <w:spacing w:val="-9"/>
                        <w:sz w:val="20"/>
                      </w:rPr>
                      <w:t xml:space="preserve"> </w:t>
                    </w:r>
                    <w:r>
                      <w:rPr>
                        <w:rFonts w:ascii="Calibri"/>
                        <w:color w:val="FF0000"/>
                        <w:sz w:val="20"/>
                      </w:rPr>
                      <w:t>DISCLOSURE</w:t>
                    </w:r>
                    <w:r>
                      <w:rPr>
                        <w:rFonts w:ascii="Calibri"/>
                        <w:color w:val="FF0000"/>
                        <w:spacing w:val="-4"/>
                        <w:sz w:val="20"/>
                      </w:rPr>
                      <w:t xml:space="preserve"> </w:t>
                    </w:r>
                    <w:r>
                      <w:rPr>
                        <w:rFonts w:ascii="Calibri"/>
                        <w:color w:val="FF0000"/>
                        <w:sz w:val="20"/>
                      </w:rPr>
                      <w:t>V1.3</w:t>
                    </w:r>
                    <w:r>
                      <w:rPr>
                        <w:rFonts w:ascii="Calibri"/>
                        <w:color w:val="FF0000"/>
                        <w:spacing w:val="-5"/>
                        <w:sz w:val="20"/>
                      </w:rPr>
                      <w:t xml:space="preserve"> </w:t>
                    </w:r>
                    <w:r>
                      <w:rPr>
                        <w:rFonts w:ascii="Calibri"/>
                        <w:color w:val="808080"/>
                        <w:sz w:val="20"/>
                      </w:rPr>
                      <w:t>|</w:t>
                    </w:r>
                    <w:r>
                      <w:rPr>
                        <w:rFonts w:ascii="Calibri"/>
                        <w:color w:val="808080"/>
                        <w:spacing w:val="-7"/>
                        <w:sz w:val="20"/>
                      </w:rPr>
                      <w:t xml:space="preserve"> </w:t>
                    </w:r>
                    <w:r w:rsidR="003A36AC" w:rsidRPr="00CB499F">
                      <w:rPr>
                        <w:rFonts w:ascii="Calibri"/>
                        <w:color w:val="808080"/>
                        <w:spacing w:val="-2"/>
                        <w:sz w:val="20"/>
                      </w:rPr>
                      <w:t>WWW.IEXS.</w:t>
                    </w:r>
                    <w:r w:rsidR="003A36AC" w:rsidRPr="00CB499F">
                      <w:rPr>
                        <w:rFonts w:ascii="Calibri" w:eastAsiaTheme="minorEastAsia" w:hint="eastAsia"/>
                        <w:color w:val="808080"/>
                        <w:spacing w:val="-2"/>
                        <w:sz w:val="20"/>
                        <w:lang w:eastAsia="zh-CN"/>
                      </w:rPr>
                      <w:t>ASIA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0B35" w14:textId="77777777" w:rsidR="008D67A7" w:rsidRDefault="008D67A7">
      <w:r>
        <w:separator/>
      </w:r>
    </w:p>
  </w:footnote>
  <w:footnote w:type="continuationSeparator" w:id="0">
    <w:p w14:paraId="2E622FD4" w14:textId="77777777" w:rsidR="008D67A7" w:rsidRDefault="008D6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B64F" w14:textId="77777777" w:rsidR="00A94A9B" w:rsidRDefault="004F6AE4">
    <w:pPr>
      <w:pStyle w:val="a3"/>
      <w:spacing w:before="0" w:line="14" w:lineRule="auto"/>
      <w:ind w:left="0"/>
      <w:jc w:val="left"/>
      <w:rPr>
        <w:sz w:val="20"/>
      </w:rPr>
    </w:pPr>
    <w:r>
      <w:rPr>
        <w:noProof/>
        <w:sz w:val="20"/>
      </w:rPr>
      <w:drawing>
        <wp:anchor distT="0" distB="0" distL="0" distR="0" simplePos="0" relativeHeight="487558144" behindDoc="1" locked="0" layoutInCell="1" allowOverlap="1" wp14:anchorId="5AD52AFE" wp14:editId="3EDF3029">
          <wp:simplePos x="0" y="0"/>
          <wp:positionH relativeFrom="page">
            <wp:posOffset>5236209</wp:posOffset>
          </wp:positionH>
          <wp:positionV relativeFrom="page">
            <wp:posOffset>330707</wp:posOffset>
          </wp:positionV>
          <wp:extent cx="1625599" cy="31572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5599" cy="315722"/>
                  </a:xfrm>
                  <a:prstGeom prst="rect">
                    <a:avLst/>
                  </a:prstGeom>
                </pic:spPr>
              </pic:pic>
            </a:graphicData>
          </a:graphic>
        </wp:anchor>
      </w:drawing>
    </w:r>
    <w:r>
      <w:rPr>
        <w:noProof/>
        <w:sz w:val="20"/>
      </w:rPr>
      <mc:AlternateContent>
        <mc:Choice Requires="wps">
          <w:drawing>
            <wp:anchor distT="0" distB="0" distL="0" distR="0" simplePos="0" relativeHeight="487558656" behindDoc="1" locked="0" layoutInCell="1" allowOverlap="1" wp14:anchorId="13475F3A" wp14:editId="341CEEBD">
              <wp:simplePos x="0" y="0"/>
              <wp:positionH relativeFrom="page">
                <wp:posOffset>673404</wp:posOffset>
              </wp:positionH>
              <wp:positionV relativeFrom="page">
                <wp:posOffset>777867</wp:posOffset>
              </wp:positionV>
              <wp:extent cx="1107440"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262890"/>
                      </a:xfrm>
                      <a:prstGeom prst="rect">
                        <a:avLst/>
                      </a:prstGeom>
                    </wps:spPr>
                    <wps:txbx>
                      <w:txbxContent>
                        <w:p w14:paraId="69AA38A1" w14:textId="77777777" w:rsidR="00A94A9B" w:rsidRDefault="004F6AE4">
                          <w:pPr>
                            <w:spacing w:before="21"/>
                            <w:ind w:left="20"/>
                            <w:rPr>
                              <w:sz w:val="28"/>
                            </w:rPr>
                          </w:pPr>
                          <w:r>
                            <w:rPr>
                              <w:sz w:val="28"/>
                            </w:rPr>
                            <w:t>Risk</w:t>
                          </w:r>
                          <w:r>
                            <w:rPr>
                              <w:spacing w:val="-8"/>
                              <w:sz w:val="28"/>
                            </w:rPr>
                            <w:t xml:space="preserve"> </w:t>
                          </w:r>
                          <w:r>
                            <w:rPr>
                              <w:spacing w:val="-2"/>
                              <w:sz w:val="28"/>
                            </w:rPr>
                            <w:t>Disclosure</w:t>
                          </w:r>
                        </w:p>
                      </w:txbxContent>
                    </wps:txbx>
                    <wps:bodyPr wrap="square" lIns="0" tIns="0" rIns="0" bIns="0" rtlCol="0">
                      <a:noAutofit/>
                    </wps:bodyPr>
                  </wps:wsp>
                </a:graphicData>
              </a:graphic>
            </wp:anchor>
          </w:drawing>
        </mc:Choice>
        <mc:Fallback>
          <w:pict>
            <v:shapetype w14:anchorId="13475F3A" id="_x0000_t202" coordsize="21600,21600" o:spt="202" path="m,l,21600r21600,l21600,xe">
              <v:stroke joinstyle="miter"/>
              <v:path gradientshapeok="t" o:connecttype="rect"/>
            </v:shapetype>
            <v:shape id="Textbox 2" o:spid="_x0000_s1026" type="#_x0000_t202" style="position:absolute;margin-left:53pt;margin-top:61.25pt;width:87.2pt;height:20.7pt;z-index:-1575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" filled="f" stroked="f">
              <v:textbox inset="0,0,0,0">
                <w:txbxContent>
                  <w:p w14:paraId="69AA38A1" w14:textId="77777777" w:rsidR="00A94A9B" w:rsidRDefault="004F6AE4">
                    <w:pPr>
                      <w:spacing w:before="21"/>
                      <w:ind w:left="20"/>
                      <w:rPr>
                        <w:sz w:val="28"/>
                      </w:rPr>
                    </w:pPr>
                    <w:r>
                      <w:rPr>
                        <w:sz w:val="28"/>
                      </w:rPr>
                      <w:t>Risk</w:t>
                    </w:r>
                    <w:r>
                      <w:rPr>
                        <w:spacing w:val="-8"/>
                        <w:sz w:val="28"/>
                      </w:rPr>
                      <w:t xml:space="preserve"> </w:t>
                    </w:r>
                    <w:r>
                      <w:rPr>
                        <w:spacing w:val="-2"/>
                        <w:sz w:val="28"/>
                      </w:rPr>
                      <w:t>Disclosure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66B01"/>
    <w:multiLevelType w:val="hybridMultilevel"/>
    <w:tmpl w:val="C1DC97EA"/>
    <w:lvl w:ilvl="0" w:tplc="7FA8E6FC">
      <w:start w:val="1"/>
      <w:numFmt w:val="bullet"/>
      <w:lvlText w:val="●"/>
      <w:lvlJc w:val="left"/>
      <w:pPr>
        <w:tabs>
          <w:tab w:val="num" w:pos="720"/>
        </w:tabs>
        <w:ind w:left="720" w:hanging="360"/>
      </w:pPr>
      <w:rPr>
        <w:rFonts w:ascii="宋体" w:hAnsi="宋体" w:hint="default"/>
      </w:rPr>
    </w:lvl>
    <w:lvl w:ilvl="1" w:tplc="D3AE6280" w:tentative="1">
      <w:start w:val="1"/>
      <w:numFmt w:val="bullet"/>
      <w:lvlText w:val="●"/>
      <w:lvlJc w:val="left"/>
      <w:pPr>
        <w:tabs>
          <w:tab w:val="num" w:pos="1440"/>
        </w:tabs>
        <w:ind w:left="1440" w:hanging="360"/>
      </w:pPr>
      <w:rPr>
        <w:rFonts w:ascii="宋体" w:hAnsi="宋体" w:hint="default"/>
      </w:rPr>
    </w:lvl>
    <w:lvl w:ilvl="2" w:tplc="4DD2022A" w:tentative="1">
      <w:start w:val="1"/>
      <w:numFmt w:val="bullet"/>
      <w:lvlText w:val="●"/>
      <w:lvlJc w:val="left"/>
      <w:pPr>
        <w:tabs>
          <w:tab w:val="num" w:pos="2160"/>
        </w:tabs>
        <w:ind w:left="2160" w:hanging="360"/>
      </w:pPr>
      <w:rPr>
        <w:rFonts w:ascii="宋体" w:hAnsi="宋体" w:hint="default"/>
      </w:rPr>
    </w:lvl>
    <w:lvl w:ilvl="3" w:tplc="434ABE70" w:tentative="1">
      <w:start w:val="1"/>
      <w:numFmt w:val="bullet"/>
      <w:lvlText w:val="●"/>
      <w:lvlJc w:val="left"/>
      <w:pPr>
        <w:tabs>
          <w:tab w:val="num" w:pos="2880"/>
        </w:tabs>
        <w:ind w:left="2880" w:hanging="360"/>
      </w:pPr>
      <w:rPr>
        <w:rFonts w:ascii="宋体" w:hAnsi="宋体" w:hint="default"/>
      </w:rPr>
    </w:lvl>
    <w:lvl w:ilvl="4" w:tplc="521434FC" w:tentative="1">
      <w:start w:val="1"/>
      <w:numFmt w:val="bullet"/>
      <w:lvlText w:val="●"/>
      <w:lvlJc w:val="left"/>
      <w:pPr>
        <w:tabs>
          <w:tab w:val="num" w:pos="3600"/>
        </w:tabs>
        <w:ind w:left="3600" w:hanging="360"/>
      </w:pPr>
      <w:rPr>
        <w:rFonts w:ascii="宋体" w:hAnsi="宋体" w:hint="default"/>
      </w:rPr>
    </w:lvl>
    <w:lvl w:ilvl="5" w:tplc="2FEA8A8A" w:tentative="1">
      <w:start w:val="1"/>
      <w:numFmt w:val="bullet"/>
      <w:lvlText w:val="●"/>
      <w:lvlJc w:val="left"/>
      <w:pPr>
        <w:tabs>
          <w:tab w:val="num" w:pos="4320"/>
        </w:tabs>
        <w:ind w:left="4320" w:hanging="360"/>
      </w:pPr>
      <w:rPr>
        <w:rFonts w:ascii="宋体" w:hAnsi="宋体" w:hint="default"/>
      </w:rPr>
    </w:lvl>
    <w:lvl w:ilvl="6" w:tplc="6966F5A2" w:tentative="1">
      <w:start w:val="1"/>
      <w:numFmt w:val="bullet"/>
      <w:lvlText w:val="●"/>
      <w:lvlJc w:val="left"/>
      <w:pPr>
        <w:tabs>
          <w:tab w:val="num" w:pos="5040"/>
        </w:tabs>
        <w:ind w:left="5040" w:hanging="360"/>
      </w:pPr>
      <w:rPr>
        <w:rFonts w:ascii="宋体" w:hAnsi="宋体" w:hint="default"/>
      </w:rPr>
    </w:lvl>
    <w:lvl w:ilvl="7" w:tplc="C8784596" w:tentative="1">
      <w:start w:val="1"/>
      <w:numFmt w:val="bullet"/>
      <w:lvlText w:val="●"/>
      <w:lvlJc w:val="left"/>
      <w:pPr>
        <w:tabs>
          <w:tab w:val="num" w:pos="5760"/>
        </w:tabs>
        <w:ind w:left="5760" w:hanging="360"/>
      </w:pPr>
      <w:rPr>
        <w:rFonts w:ascii="宋体" w:hAnsi="宋体" w:hint="default"/>
      </w:rPr>
    </w:lvl>
    <w:lvl w:ilvl="8" w:tplc="F2E6E502" w:tentative="1">
      <w:start w:val="1"/>
      <w:numFmt w:val="bullet"/>
      <w:lvlText w:val="●"/>
      <w:lvlJc w:val="left"/>
      <w:pPr>
        <w:tabs>
          <w:tab w:val="num" w:pos="6480"/>
        </w:tabs>
        <w:ind w:left="6480" w:hanging="360"/>
      </w:pPr>
      <w:rPr>
        <w:rFonts w:ascii="宋体" w:hAnsi="宋体" w:hint="default"/>
      </w:rPr>
    </w:lvl>
  </w:abstractNum>
  <w:num w:numId="1" w16cid:durableId="103029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94A9B"/>
    <w:rsid w:val="002F262D"/>
    <w:rsid w:val="003A36AC"/>
    <w:rsid w:val="003D3D36"/>
    <w:rsid w:val="004552A4"/>
    <w:rsid w:val="004F6AE4"/>
    <w:rsid w:val="005538B8"/>
    <w:rsid w:val="00556B63"/>
    <w:rsid w:val="00605199"/>
    <w:rsid w:val="0064593C"/>
    <w:rsid w:val="008176C7"/>
    <w:rsid w:val="008634AB"/>
    <w:rsid w:val="008D67A7"/>
    <w:rsid w:val="0091587B"/>
    <w:rsid w:val="009F67EC"/>
    <w:rsid w:val="00A01CFB"/>
    <w:rsid w:val="00A0713F"/>
    <w:rsid w:val="00A76396"/>
    <w:rsid w:val="00A94A9B"/>
    <w:rsid w:val="00AF63EC"/>
    <w:rsid w:val="00B73523"/>
    <w:rsid w:val="00B87E6B"/>
    <w:rsid w:val="00C7339E"/>
    <w:rsid w:val="00CA2A6F"/>
    <w:rsid w:val="00CB499F"/>
    <w:rsid w:val="00CD2D3B"/>
    <w:rsid w:val="00D40FD4"/>
    <w:rsid w:val="00D41556"/>
    <w:rsid w:val="00D841FE"/>
    <w:rsid w:val="00EB06FB"/>
    <w:rsid w:val="00F25A56"/>
    <w:rsid w:val="00F45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D51E13"/>
  <w15:docId w15:val="{F2883B5F-CD99-4F9E-813A-8A1904BF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egoe UI Light" w:eastAsia="Segoe UI Light" w:hAnsi="Segoe UI Light" w:cs="Segoe U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245"/>
      <w:ind w:left="88"/>
      <w:jc w:val="both"/>
    </w:pPr>
  </w:style>
  <w:style w:type="paragraph" w:styleId="a5">
    <w:name w:val="Title"/>
    <w:basedOn w:val="a"/>
    <w:uiPriority w:val="10"/>
    <w:qFormat/>
    <w:pPr>
      <w:spacing w:before="21"/>
      <w:ind w:left="20"/>
    </w:pPr>
    <w:rPr>
      <w:sz w:val="28"/>
      <w:szCs w:val="28"/>
    </w:rPr>
  </w:style>
  <w:style w:type="paragraph" w:styleId="a6">
    <w:name w:val="List Paragraph"/>
    <w:basedOn w:val="a"/>
    <w:uiPriority w:val="34"/>
    <w:qFormat/>
  </w:style>
  <w:style w:type="paragraph" w:customStyle="1" w:styleId="TableParagraph">
    <w:name w:val="Table Paragraph"/>
    <w:basedOn w:val="a"/>
    <w:uiPriority w:val="1"/>
    <w:qFormat/>
  </w:style>
  <w:style w:type="table" w:styleId="a7">
    <w:name w:val="Table Grid"/>
    <w:basedOn w:val="a1"/>
    <w:uiPriority w:val="39"/>
    <w:rsid w:val="00A76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B73523"/>
    <w:pPr>
      <w:tabs>
        <w:tab w:val="center" w:pos="4153"/>
        <w:tab w:val="right" w:pos="8306"/>
      </w:tabs>
      <w:snapToGrid w:val="0"/>
      <w:jc w:val="center"/>
    </w:pPr>
    <w:rPr>
      <w:sz w:val="18"/>
      <w:szCs w:val="18"/>
    </w:rPr>
  </w:style>
  <w:style w:type="character" w:customStyle="1" w:styleId="a9">
    <w:name w:val="页眉 字符"/>
    <w:basedOn w:val="a0"/>
    <w:link w:val="a8"/>
    <w:uiPriority w:val="99"/>
    <w:rsid w:val="00B73523"/>
    <w:rPr>
      <w:rFonts w:ascii="Segoe UI Light" w:eastAsia="Segoe UI Light" w:hAnsi="Segoe UI Light" w:cs="Segoe UI Light"/>
      <w:sz w:val="18"/>
      <w:szCs w:val="18"/>
    </w:rPr>
  </w:style>
  <w:style w:type="paragraph" w:styleId="aa">
    <w:name w:val="footer"/>
    <w:basedOn w:val="a"/>
    <w:link w:val="ab"/>
    <w:uiPriority w:val="99"/>
    <w:unhideWhenUsed/>
    <w:rsid w:val="00B73523"/>
    <w:pPr>
      <w:tabs>
        <w:tab w:val="center" w:pos="4153"/>
        <w:tab w:val="right" w:pos="8306"/>
      </w:tabs>
      <w:snapToGrid w:val="0"/>
    </w:pPr>
    <w:rPr>
      <w:sz w:val="18"/>
      <w:szCs w:val="18"/>
    </w:rPr>
  </w:style>
  <w:style w:type="character" w:customStyle="1" w:styleId="ab">
    <w:name w:val="页脚 字符"/>
    <w:basedOn w:val="a0"/>
    <w:link w:val="aa"/>
    <w:uiPriority w:val="99"/>
    <w:rsid w:val="00B73523"/>
    <w:rPr>
      <w:rFonts w:ascii="Segoe UI Light" w:eastAsia="Segoe UI Light" w:hAnsi="Segoe UI Light" w:cs="Segoe UI Light"/>
      <w:sz w:val="18"/>
      <w:szCs w:val="18"/>
    </w:rPr>
  </w:style>
  <w:style w:type="character" w:customStyle="1" w:styleId="a4">
    <w:name w:val="正文文本 字符"/>
    <w:basedOn w:val="a0"/>
    <w:link w:val="a3"/>
    <w:uiPriority w:val="1"/>
    <w:rsid w:val="00B73523"/>
    <w:rPr>
      <w:rFonts w:ascii="Segoe UI Light" w:eastAsia="Segoe UI Light" w:hAnsi="Segoe UI Light" w:cs="Segoe UI Light"/>
    </w:rPr>
  </w:style>
  <w:style w:type="character" w:styleId="ac">
    <w:name w:val="Hyperlink"/>
    <w:basedOn w:val="a0"/>
    <w:uiPriority w:val="99"/>
    <w:unhideWhenUsed/>
    <w:rsid w:val="003A36AC"/>
    <w:rPr>
      <w:color w:val="0000FF" w:themeColor="hyperlink"/>
      <w:u w:val="single"/>
    </w:rPr>
  </w:style>
  <w:style w:type="character" w:styleId="ad">
    <w:name w:val="Unresolved Mention"/>
    <w:basedOn w:val="a0"/>
    <w:uiPriority w:val="99"/>
    <w:semiHidden/>
    <w:unhideWhenUsed/>
    <w:rsid w:val="003A3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1007</Words>
  <Characters>5431</Characters>
  <Application>Microsoft Office Word</Application>
  <DocSecurity>0</DocSecurity>
  <Lines>96</Lines>
  <Paragraphs>48</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DISCLOSURE V1.3</dc:title>
  <dc:subject>WWW.IEXS.COM</dc:subject>
  <dc:creator>Francis</dc:creator>
  <cp:lastModifiedBy>tiger tt</cp:lastModifiedBy>
  <cp:revision>14</cp:revision>
  <cp:lastPrinted>2025-04-02T08:09:00Z</cp:lastPrinted>
  <dcterms:created xsi:type="dcterms:W3CDTF">2025-04-02T03:12:00Z</dcterms:created>
  <dcterms:modified xsi:type="dcterms:W3CDTF">2025-08-28T06:06:00Z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适用于 Microsoft 365</vt:lpwstr>
  </property>
  <property fmtid="{D5CDD505-2E9C-101B-9397-08002B2CF9AE}" pid="4" name="LastSaved">
    <vt:filetime>2025-04-02T00:00:00Z</vt:filetime>
  </property>
  <property fmtid="{D5CDD505-2E9C-101B-9397-08002B2CF9AE}" pid="5" name="Producer">
    <vt:lpwstr>Microsoft® Word 适用于 Microsoft 365</vt:lpwstr>
  </property>
</Properties>
</file>