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B0C18">
      <w:pPr>
        <w:pStyle w:val="2"/>
        <w:spacing w:before="200" w:line="360" w:lineRule="auto"/>
        <w:rPr>
          <w:rFonts w:hint="eastAsia" w:ascii="PMingLiU" w:hAnsi="PMingLiU" w:eastAsia="PMingLiU"/>
          <w:b/>
          <w:bCs/>
          <w:lang w:eastAsia="zh-TW"/>
        </w:rPr>
      </w:pPr>
      <w:r>
        <w:rPr>
          <w:rFonts w:hint="eastAsia" w:ascii="PMingLiU" w:hAnsi="PMingLiU" w:eastAsia="PMingLiU"/>
          <w:b/>
          <w:bCs/>
          <w:lang w:eastAsia="zh-TW"/>
        </w:rPr>
        <w:t>保證金要求</w:t>
      </w:r>
    </w:p>
    <w:p w14:paraId="5E982AC4">
      <w:pPr>
        <w:pStyle w:val="2"/>
        <w:spacing w:before="200" w:line="360" w:lineRule="auto"/>
        <w:rPr>
          <w:rFonts w:hint="eastAsia" w:ascii="PMingLiU" w:hAnsi="PMingLiU" w:eastAsia="PMingLiU" w:cs="微软雅黑"/>
          <w:lang w:eastAsia="zh-TW"/>
        </w:rPr>
      </w:pPr>
      <w:r>
        <w:rPr>
          <w:rFonts w:hint="eastAsia" w:ascii="PMingLiU" w:hAnsi="PMingLiU" w:eastAsia="PMingLiU" w:cs="微软雅黑"/>
          <w:lang w:eastAsia="zh-TW"/>
        </w:rPr>
        <w:t>在外匯市場上利用保證金交易，以更低的資金量執行交易，我們也稱之為杠杆交易。當交易帳戶持有暴露頭寸時會受到限制，其計算方法是將帳戶的淨值乘以與</w:t>
      </w:r>
      <w:r>
        <w:rPr>
          <w:rFonts w:hint="eastAsia" w:ascii="PMingLiU" w:hAnsi="PMingLiU" w:eastAsia="PMingLiU"/>
          <w:lang w:eastAsia="zh-TW"/>
        </w:rPr>
        <w:t>IEXS</w:t>
      </w:r>
      <w:r>
        <w:rPr>
          <w:rFonts w:hint="eastAsia" w:ascii="PMingLiU" w:hAnsi="PMingLiU" w:eastAsia="PMingLiU" w:cs="微软雅黑"/>
          <w:lang w:eastAsia="zh-TW"/>
        </w:rPr>
        <w:t>盈十證券商定的杠杆率。預設情況下，初始杠杆率設置為</w:t>
      </w:r>
      <w:r>
        <w:rPr>
          <w:rFonts w:hint="eastAsia" w:ascii="PMingLiU" w:hAnsi="PMingLiU" w:eastAsia="PMingLiU"/>
          <w:lang w:eastAsia="zh-TW"/>
        </w:rPr>
        <w:t>1：200</w:t>
      </w:r>
      <w:r>
        <w:rPr>
          <w:rFonts w:hint="eastAsia" w:ascii="PMingLiU" w:hAnsi="PMingLiU" w:eastAsia="PMingLiU" w:cs="微软雅黑"/>
          <w:lang w:eastAsia="zh-TW"/>
        </w:rPr>
        <w:t>，可在交易帳戶空倉狀態下可對杠杆進行調整。</w:t>
      </w:r>
    </w:p>
    <w:p w14:paraId="561F2975">
      <w:pPr>
        <w:pStyle w:val="2"/>
        <w:spacing w:before="200" w:line="360" w:lineRule="auto"/>
        <w:rPr>
          <w:rFonts w:hint="eastAsia" w:ascii="PMingLiU" w:hAnsi="PMingLiU" w:eastAsia="PMingLiU"/>
          <w:lang w:eastAsia="zh-TW"/>
        </w:rPr>
      </w:pPr>
      <w:r>
        <w:rPr>
          <w:rFonts w:hint="eastAsia" w:ascii="PMingLiU" w:hAnsi="PMingLiU" w:eastAsia="PMingLiU"/>
          <w:lang w:eastAsia="zh-TW"/>
        </w:rPr>
        <w:t>帳戶的初始杠杆率可以調整到IEXS盈十證券和客戶預先定義的不同級別（例如1:50或1:20等) 。</w:t>
      </w:r>
    </w:p>
    <w:p w14:paraId="03F8B275">
      <w:pPr>
        <w:pStyle w:val="2"/>
        <w:spacing w:before="200" w:line="360" w:lineRule="auto"/>
        <w:rPr>
          <w:rFonts w:hint="eastAsia" w:ascii="PMingLiU" w:hAnsi="PMingLiU" w:eastAsia="PMingLiU"/>
          <w:lang w:eastAsia="zh-TW"/>
        </w:rPr>
      </w:pPr>
      <w:r>
        <w:rPr>
          <w:rFonts w:hint="eastAsia" w:ascii="PMingLiU" w:hAnsi="PMingLiU" w:eastAsia="PMingLiU"/>
          <w:lang w:eastAsia="zh-TW"/>
        </w:rPr>
        <w:t>由於特定的交易條件，幾種產品具有更高的保證金要求。</w:t>
      </w:r>
    </w:p>
    <w:p w14:paraId="4B2E287F">
      <w:pPr>
        <w:pStyle w:val="2"/>
        <w:spacing w:before="200" w:line="360" w:lineRule="auto"/>
        <w:rPr>
          <w:rFonts w:hint="eastAsia" w:ascii="PMingLiU" w:hAnsi="PMingLiU" w:eastAsia="PMingLiU"/>
          <w:lang w:eastAsia="zh-TW"/>
        </w:rPr>
      </w:pPr>
      <w:r>
        <w:drawing>
          <wp:anchor distT="0" distB="0" distL="0" distR="0" simplePos="0" relativeHeight="251659264" behindDoc="1" locked="0" layoutInCell="1" allowOverlap="1">
            <wp:simplePos x="0" y="0"/>
            <wp:positionH relativeFrom="page">
              <wp:posOffset>1680210</wp:posOffset>
            </wp:positionH>
            <wp:positionV relativeFrom="paragraph">
              <wp:posOffset>511810</wp:posOffset>
            </wp:positionV>
            <wp:extent cx="4197985" cy="419798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4198127" cy="4198127"/>
                    </a:xfrm>
                    <a:prstGeom prst="rect">
                      <a:avLst/>
                    </a:prstGeom>
                  </pic:spPr>
                </pic:pic>
              </a:graphicData>
            </a:graphic>
          </wp:anchor>
        </w:drawing>
      </w:r>
    </w:p>
    <w:p w14:paraId="44D46AA6">
      <w:pPr>
        <w:pStyle w:val="2"/>
        <w:spacing w:before="200" w:line="360" w:lineRule="auto"/>
        <w:rPr>
          <w:rFonts w:hint="eastAsia" w:ascii="PMingLiU" w:hAnsi="PMingLiU" w:eastAsia="PMingLiU"/>
          <w:b/>
          <w:bCs/>
          <w:lang w:eastAsia="zh-TW"/>
        </w:rPr>
      </w:pPr>
      <w:r>
        <w:rPr>
          <w:rFonts w:hint="eastAsia" w:ascii="PMingLiU" w:hAnsi="PMingLiU" w:eastAsia="PMingLiU"/>
          <w:b/>
          <w:bCs/>
          <w:lang w:eastAsia="zh-TW"/>
        </w:rPr>
        <w:t>杠杆調整說明</w:t>
      </w:r>
    </w:p>
    <w:p w14:paraId="6838F1EB">
      <w:pPr>
        <w:pStyle w:val="2"/>
        <w:spacing w:before="200" w:line="360" w:lineRule="auto"/>
        <w:rPr>
          <w:rFonts w:hint="eastAsia" w:ascii="PMingLiU" w:hAnsi="PMingLiU" w:eastAsia="PMingLiU"/>
          <w:lang w:eastAsia="zh-TW"/>
        </w:rPr>
      </w:pPr>
      <w:r>
        <w:rPr>
          <w:rFonts w:hint="eastAsia" w:ascii="PMingLiU" w:hAnsi="PMingLiU" w:eastAsia="PMingLiU"/>
          <w:lang w:eastAsia="zh-TW"/>
        </w:rPr>
        <w:t>根據IEXS盈十證券風控要求，將在下述情況自動調低您的杠杆。當您的單個交易帳戶狀值達到或超過規定的淨值區間時，IEXS盈十證券有權自動調整該交易帳戶的杠杆。資金轉入或帳戶便利都將影響帳戶淨值。</w:t>
      </w:r>
    </w:p>
    <w:p w14:paraId="6BA5B536">
      <w:pPr>
        <w:pStyle w:val="2"/>
        <w:spacing w:before="200" w:line="360" w:lineRule="auto"/>
        <w:rPr>
          <w:rFonts w:hint="eastAsia" w:ascii="PMingLiU" w:hAnsi="PMingLiU" w:eastAsia="PMingLiU"/>
          <w:lang w:eastAsia="zh-TW"/>
        </w:rPr>
      </w:pPr>
      <w:r>
        <w:rPr>
          <w:rFonts w:hint="eastAsia" w:ascii="PMingLiU" w:hAnsi="PMingLiU" w:eastAsia="PMingLiU"/>
          <w:lang w:eastAsia="zh-TW"/>
        </w:rPr>
        <w:t>以標準帳戶A為例，帳戶A初始淨值1萬美金，杠杆1:800。當該帳戶由於盈利或資金轉入達到或超過5萬美金時，根據IEXS盈十證券要求，交易帳戶淨值大於5萬美金時，其交易帳戶杠杆最大為1:500。故IEXS盈十證券會調整帳戶A杠杆至1:500，杠杆降低將會增加持倉保證金要求，請注意其中風險。</w:t>
      </w:r>
    </w:p>
    <w:p w14:paraId="1549430D">
      <w:pPr>
        <w:pStyle w:val="2"/>
        <w:spacing w:before="200" w:line="360" w:lineRule="auto"/>
        <w:rPr>
          <w:rFonts w:hint="eastAsia" w:ascii="PMingLiU" w:hAnsi="PMingLiU" w:eastAsiaTheme="minorEastAsia"/>
          <w:lang w:eastAsia="zh-TW"/>
        </w:rPr>
      </w:pPr>
      <w:r>
        <w:rPr>
          <w:rFonts w:hint="eastAsia" w:ascii="PMingLiU" w:hAnsi="PMingLiU" w:eastAsia="PMingLiU"/>
          <w:lang w:eastAsia="zh-TW"/>
        </w:rPr>
        <w:t>交易帳戶淨值額度和杠杆對應請參考下圖。</w:t>
      </w:r>
    </w:p>
    <w:p w14:paraId="55C18EBB">
      <w:pPr>
        <w:pStyle w:val="2"/>
        <w:spacing w:before="200" w:line="360" w:lineRule="auto"/>
        <w:rPr>
          <w:rFonts w:hint="eastAsia" w:ascii="PMingLiU" w:hAnsi="PMingLiU" w:eastAsiaTheme="minorEastAsia"/>
          <w:lang w:eastAsia="zh-TW"/>
        </w:rPr>
      </w:pPr>
    </w:p>
    <w:tbl>
      <w:tblPr>
        <w:tblStyle w:val="7"/>
        <w:tblW w:w="0" w:type="auto"/>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1408"/>
        <w:gridCol w:w="2516"/>
        <w:gridCol w:w="2516"/>
      </w:tblGrid>
      <w:tr w14:paraId="6904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4" w:type="dxa"/>
            <w:gridSpan w:val="2"/>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47391888">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hint="eastAsia" w:ascii="微软雅黑 Light" w:hAnsi="微软雅黑 Light" w:eastAsia="PMingLiU"/>
                <w:b/>
                <w:bCs/>
                <w:color w:val="FFFFFF" w:themeColor="background1"/>
                <w:lang w:eastAsia="zh-TW"/>
                <w14:textFill>
                  <w14:solidFill>
                    <w14:schemeClr w14:val="bg1"/>
                  </w14:solidFill>
                </w14:textFill>
              </w:rPr>
              <w:t>賬戶類型</w:t>
            </w:r>
          </w:p>
        </w:tc>
        <w:tc>
          <w:tcPr>
            <w:tcW w:w="251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746F02E7">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hint="eastAsia" w:ascii="微软雅黑 Light" w:hAnsi="微软雅黑 Light" w:eastAsia="PMingLiU"/>
                <w:b/>
                <w:bCs/>
                <w:color w:val="FFFFFF" w:themeColor="background1"/>
                <w:lang w:eastAsia="zh-TW"/>
                <w14:textFill>
                  <w14:solidFill>
                    <w14:schemeClr w14:val="bg1"/>
                  </w14:solidFill>
                </w14:textFill>
              </w:rPr>
              <w:t>標準賬戶</w:t>
            </w:r>
          </w:p>
        </w:tc>
        <w:tc>
          <w:tcPr>
            <w:tcW w:w="251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61CF4E87">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hint="eastAsia" w:ascii="微软雅黑 Light" w:hAnsi="微软雅黑 Light" w:eastAsia="PMingLiU"/>
                <w:b/>
                <w:bCs/>
                <w:color w:val="FFFFFF" w:themeColor="background1"/>
                <w:lang w:eastAsia="zh-TW"/>
                <w14:textFill>
                  <w14:solidFill>
                    <w14:schemeClr w14:val="bg1"/>
                  </w14:solidFill>
                </w14:textFill>
              </w:rPr>
              <w:t>DMA賬戶</w:t>
            </w:r>
          </w:p>
        </w:tc>
      </w:tr>
      <w:tr w14:paraId="59136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6C9E8E14">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hint="eastAsia" w:ascii="微软雅黑 Light" w:hAnsi="微软雅黑 Light" w:eastAsia="PMingLiU"/>
                <w:b/>
                <w:bCs/>
                <w:color w:val="FFFFFF" w:themeColor="background1"/>
                <w:lang w:eastAsia="zh-TW"/>
                <w14:textFill>
                  <w14:solidFill>
                    <w14:schemeClr w14:val="bg1"/>
                  </w14:solidFill>
                </w14:textFill>
              </w:rPr>
              <w:t>產品類型</w:t>
            </w:r>
          </w:p>
        </w:tc>
        <w:tc>
          <w:tcPr>
            <w:tcW w:w="140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19BD7C25">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hint="eastAsia" w:ascii="微软雅黑 Light" w:hAnsi="微软雅黑 Light" w:eastAsia="PMingLiU"/>
                <w:b/>
                <w:bCs/>
                <w:color w:val="FFFFFF" w:themeColor="background1"/>
                <w:lang w:eastAsia="zh-TW"/>
                <w14:textFill>
                  <w14:solidFill>
                    <w14:schemeClr w14:val="bg1"/>
                  </w14:solidFill>
                </w14:textFill>
              </w:rPr>
              <w:t>賬戶淨值</w:t>
            </w:r>
          </w:p>
        </w:tc>
        <w:tc>
          <w:tcPr>
            <w:tcW w:w="251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15505A0E">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hint="eastAsia" w:ascii="微软雅黑 Light" w:hAnsi="微软雅黑 Light" w:eastAsia="PMingLiU"/>
                <w:b/>
                <w:bCs/>
                <w:color w:val="FFFFFF" w:themeColor="background1"/>
                <w:lang w:eastAsia="zh-TW"/>
                <w14:textFill>
                  <w14:solidFill>
                    <w14:schemeClr w14:val="bg1"/>
                  </w14:solidFill>
                </w14:textFill>
              </w:rPr>
              <w:t>可選擇杠桿</w:t>
            </w:r>
          </w:p>
        </w:tc>
        <w:tc>
          <w:tcPr>
            <w:tcW w:w="251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469B90EB">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hint="eastAsia" w:ascii="微软雅黑 Light" w:hAnsi="微软雅黑 Light" w:eastAsia="PMingLiU"/>
                <w:b/>
                <w:bCs/>
                <w:color w:val="FFFFFF" w:themeColor="background1"/>
                <w:lang w:eastAsia="zh-TW"/>
                <w14:textFill>
                  <w14:solidFill>
                    <w14:schemeClr w14:val="bg1"/>
                  </w14:solidFill>
                </w14:textFill>
              </w:rPr>
              <w:t>可選擇杠桿</w:t>
            </w:r>
          </w:p>
        </w:tc>
      </w:tr>
      <w:tr w14:paraId="33834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Borders>
              <w:top w:val="single" w:color="FFFFFF" w:themeColor="background1" w:sz="4" w:space="0"/>
            </w:tcBorders>
            <w:vAlign w:val="center"/>
          </w:tcPr>
          <w:p w14:paraId="592E9326">
            <w:pPr>
              <w:pStyle w:val="2"/>
              <w:spacing w:before="200"/>
              <w:ind w:left="0"/>
              <w:jc w:val="center"/>
              <w:rPr>
                <w:rFonts w:hint="eastAsia" w:ascii="微软雅黑 Light" w:hAnsi="微软雅黑 Light" w:eastAsiaTheme="minorEastAsia"/>
                <w:b/>
                <w:bCs/>
                <w:lang w:eastAsia="zh-CN"/>
              </w:rPr>
            </w:pPr>
            <w:r>
              <w:rPr>
                <w:rFonts w:hint="eastAsia" w:ascii="微软雅黑 Light" w:hAnsi="微软雅黑 Light" w:eastAsia="PMingLiU"/>
                <w:b/>
                <w:bCs/>
                <w:lang w:eastAsia="zh-TW"/>
              </w:rPr>
              <w:t>股票</w:t>
            </w:r>
          </w:p>
        </w:tc>
        <w:tc>
          <w:tcPr>
            <w:tcW w:w="1408" w:type="dxa"/>
            <w:tcBorders>
              <w:top w:val="single" w:color="FFFFFF" w:themeColor="background1" w:sz="4" w:space="0"/>
            </w:tcBorders>
            <w:vAlign w:val="center"/>
          </w:tcPr>
          <w:p w14:paraId="6ACFF617">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0</w:t>
            </w:r>
          </w:p>
        </w:tc>
        <w:tc>
          <w:tcPr>
            <w:tcW w:w="2516" w:type="dxa"/>
            <w:tcBorders>
              <w:top w:val="single" w:color="FFFFFF" w:themeColor="background1" w:sz="4" w:space="0"/>
            </w:tcBorders>
            <w:vAlign w:val="center"/>
          </w:tcPr>
          <w:p w14:paraId="4720AFAA">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1:10</w:t>
            </w:r>
          </w:p>
        </w:tc>
        <w:tc>
          <w:tcPr>
            <w:tcW w:w="2516" w:type="dxa"/>
            <w:tcBorders>
              <w:top w:val="single" w:color="FFFFFF" w:themeColor="background1" w:sz="4" w:space="0"/>
            </w:tcBorders>
            <w:vAlign w:val="center"/>
          </w:tcPr>
          <w:p w14:paraId="4BFFE865">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1:10</w:t>
            </w:r>
          </w:p>
        </w:tc>
      </w:tr>
      <w:tr w14:paraId="469B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Align w:val="center"/>
          </w:tcPr>
          <w:p w14:paraId="4EC07D61">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指數</w:t>
            </w:r>
          </w:p>
        </w:tc>
        <w:tc>
          <w:tcPr>
            <w:tcW w:w="1408" w:type="dxa"/>
            <w:vAlign w:val="center"/>
          </w:tcPr>
          <w:p w14:paraId="4996C974">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0</w:t>
            </w:r>
          </w:p>
        </w:tc>
        <w:tc>
          <w:tcPr>
            <w:tcW w:w="2516" w:type="dxa"/>
          </w:tcPr>
          <w:p w14:paraId="38BB5177">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1:20</w:t>
            </w:r>
          </w:p>
        </w:tc>
        <w:tc>
          <w:tcPr>
            <w:tcW w:w="2516" w:type="dxa"/>
          </w:tcPr>
          <w:p w14:paraId="05311268">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1:20</w:t>
            </w:r>
          </w:p>
        </w:tc>
      </w:tr>
      <w:tr w14:paraId="7C52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Align w:val="center"/>
          </w:tcPr>
          <w:p w14:paraId="650F851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原油</w:t>
            </w:r>
          </w:p>
        </w:tc>
        <w:tc>
          <w:tcPr>
            <w:tcW w:w="1408" w:type="dxa"/>
            <w:vAlign w:val="center"/>
          </w:tcPr>
          <w:p w14:paraId="1F726DC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0</w:t>
            </w:r>
          </w:p>
        </w:tc>
        <w:tc>
          <w:tcPr>
            <w:tcW w:w="2516" w:type="dxa"/>
          </w:tcPr>
          <w:p w14:paraId="03EAF0C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1:100</w:t>
            </w:r>
          </w:p>
        </w:tc>
        <w:tc>
          <w:tcPr>
            <w:tcW w:w="2516" w:type="dxa"/>
          </w:tcPr>
          <w:p w14:paraId="672472B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1:100</w:t>
            </w:r>
          </w:p>
        </w:tc>
      </w:tr>
      <w:tr w14:paraId="3B12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Align w:val="center"/>
          </w:tcPr>
          <w:p w14:paraId="06BAE5CE">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白銀</w:t>
            </w:r>
          </w:p>
        </w:tc>
        <w:tc>
          <w:tcPr>
            <w:tcW w:w="1408" w:type="dxa"/>
            <w:vAlign w:val="center"/>
          </w:tcPr>
          <w:p w14:paraId="4B0ECFE6">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0</w:t>
            </w:r>
          </w:p>
        </w:tc>
        <w:tc>
          <w:tcPr>
            <w:tcW w:w="2516" w:type="dxa"/>
          </w:tcPr>
          <w:p w14:paraId="124A9003">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1:100</w:t>
            </w:r>
          </w:p>
        </w:tc>
        <w:tc>
          <w:tcPr>
            <w:tcW w:w="2516" w:type="dxa"/>
          </w:tcPr>
          <w:p w14:paraId="51837451">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1:100</w:t>
            </w:r>
          </w:p>
        </w:tc>
      </w:tr>
      <w:tr w14:paraId="2AE5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restart"/>
            <w:vAlign w:val="center"/>
          </w:tcPr>
          <w:p w14:paraId="43844900">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黃金</w:t>
            </w:r>
          </w:p>
        </w:tc>
        <w:tc>
          <w:tcPr>
            <w:tcW w:w="1408" w:type="dxa"/>
            <w:vAlign w:val="center"/>
          </w:tcPr>
          <w:p w14:paraId="44F16E59">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lang w:eastAsia="zh-TW"/>
              </w:rPr>
              <w:t>＜</w:t>
            </w:r>
            <w:r>
              <w:rPr>
                <w:rFonts w:hint="eastAsia" w:ascii="微软雅黑 Light" w:hAnsi="微软雅黑 Light" w:eastAsia="PMingLiU"/>
                <w:b/>
                <w:bCs/>
                <w:lang w:eastAsia="zh-TW"/>
              </w:rPr>
              <w:t>1000</w:t>
            </w:r>
          </w:p>
        </w:tc>
        <w:tc>
          <w:tcPr>
            <w:tcW w:w="2516" w:type="dxa"/>
          </w:tcPr>
          <w:p w14:paraId="7D233501">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1:400</w:t>
            </w:r>
            <w:r>
              <w:rPr>
                <w:rFonts w:ascii="微软雅黑 Light" w:hAnsi="微软雅黑 Light" w:eastAsiaTheme="minorEastAsia"/>
                <w:b/>
                <w:bCs/>
                <w:lang w:eastAsia="zh-CN"/>
              </w:rPr>
              <w:br w:type="textWrapping"/>
            </w:r>
            <w:r>
              <w:rPr>
                <w:rFonts w:hint="eastAsia" w:ascii="微软雅黑 Light" w:hAnsi="微软雅黑 Light" w:eastAsiaTheme="minorEastAsia"/>
                <w:b/>
                <w:bCs/>
                <w:lang w:eastAsia="zh-CN"/>
              </w:rPr>
              <w:t>1:500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1:1000</w:t>
            </w:r>
          </w:p>
        </w:tc>
        <w:tc>
          <w:tcPr>
            <w:tcW w:w="2516" w:type="dxa"/>
          </w:tcPr>
          <w:p w14:paraId="4AB55E0D">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1:500</w:t>
            </w:r>
          </w:p>
        </w:tc>
      </w:tr>
      <w:tr w14:paraId="26B9A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50F9629B">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0A48BFAF">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1000</w:t>
            </w:r>
          </w:p>
        </w:tc>
        <w:tc>
          <w:tcPr>
            <w:tcW w:w="2516" w:type="dxa"/>
          </w:tcPr>
          <w:p w14:paraId="23EE5B37">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1:400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1:500</w:t>
            </w:r>
          </w:p>
        </w:tc>
        <w:tc>
          <w:tcPr>
            <w:tcW w:w="2516" w:type="dxa"/>
          </w:tcPr>
          <w:p w14:paraId="0A2E2121">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1:250</w:t>
            </w:r>
          </w:p>
        </w:tc>
      </w:tr>
      <w:tr w14:paraId="22D34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3A80A211">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73D63E4A">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2000</w:t>
            </w:r>
          </w:p>
        </w:tc>
        <w:tc>
          <w:tcPr>
            <w:tcW w:w="2516" w:type="dxa"/>
          </w:tcPr>
          <w:p w14:paraId="7D208E19">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1:400</w:t>
            </w:r>
          </w:p>
        </w:tc>
        <w:tc>
          <w:tcPr>
            <w:tcW w:w="2516" w:type="dxa"/>
          </w:tcPr>
          <w:p w14:paraId="64F8409A">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w:t>
            </w:r>
          </w:p>
        </w:tc>
      </w:tr>
      <w:tr w14:paraId="5E52C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1E561E3E">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68D2DFF3">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50000</w:t>
            </w:r>
          </w:p>
        </w:tc>
        <w:tc>
          <w:tcPr>
            <w:tcW w:w="2516" w:type="dxa"/>
          </w:tcPr>
          <w:p w14:paraId="7CE66CA7">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1:250</w:t>
            </w:r>
          </w:p>
        </w:tc>
        <w:tc>
          <w:tcPr>
            <w:tcW w:w="2516" w:type="dxa"/>
          </w:tcPr>
          <w:p w14:paraId="2EE33AC8">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p>
        </w:tc>
      </w:tr>
      <w:tr w14:paraId="33D9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2851E4A5">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68BD55F2">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100000</w:t>
            </w:r>
          </w:p>
        </w:tc>
        <w:tc>
          <w:tcPr>
            <w:tcW w:w="2516" w:type="dxa"/>
          </w:tcPr>
          <w:p w14:paraId="4297141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p>
        </w:tc>
        <w:tc>
          <w:tcPr>
            <w:tcW w:w="2516" w:type="dxa"/>
          </w:tcPr>
          <w:p w14:paraId="38EB3EEE">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p>
        </w:tc>
      </w:tr>
      <w:tr w14:paraId="42E7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4B2F4728">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6FC9B56D">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150000</w:t>
            </w:r>
          </w:p>
        </w:tc>
        <w:tc>
          <w:tcPr>
            <w:tcW w:w="2516" w:type="dxa"/>
          </w:tcPr>
          <w:p w14:paraId="28420605">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w:t>
            </w:r>
          </w:p>
        </w:tc>
        <w:tc>
          <w:tcPr>
            <w:tcW w:w="2516" w:type="dxa"/>
          </w:tcPr>
          <w:p w14:paraId="07EDA531">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w:t>
            </w:r>
          </w:p>
        </w:tc>
      </w:tr>
      <w:tr w14:paraId="1542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33BF1213">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4425449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2000000</w:t>
            </w:r>
          </w:p>
        </w:tc>
        <w:tc>
          <w:tcPr>
            <w:tcW w:w="2516" w:type="dxa"/>
          </w:tcPr>
          <w:p w14:paraId="64C5E91D">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p>
        </w:tc>
        <w:tc>
          <w:tcPr>
            <w:tcW w:w="2516" w:type="dxa"/>
          </w:tcPr>
          <w:p w14:paraId="178CF293">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1:25</w:t>
            </w:r>
          </w:p>
        </w:tc>
      </w:tr>
      <w:tr w14:paraId="52DE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restart"/>
            <w:vAlign w:val="center"/>
          </w:tcPr>
          <w:p w14:paraId="3CE3AD8F">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外匯</w:t>
            </w:r>
          </w:p>
        </w:tc>
        <w:tc>
          <w:tcPr>
            <w:tcW w:w="1408" w:type="dxa"/>
            <w:vAlign w:val="center"/>
          </w:tcPr>
          <w:p w14:paraId="05862A15">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lang w:eastAsia="zh-TW"/>
              </w:rPr>
              <w:t>＜</w:t>
            </w:r>
            <w:r>
              <w:rPr>
                <w:rFonts w:hint="eastAsia" w:ascii="微软雅黑 Light" w:hAnsi="微软雅黑 Light" w:eastAsia="PMingLiU"/>
                <w:b/>
                <w:bCs/>
                <w:lang w:eastAsia="zh-TW"/>
              </w:rPr>
              <w:t>1000</w:t>
            </w:r>
          </w:p>
        </w:tc>
        <w:tc>
          <w:tcPr>
            <w:tcW w:w="2516" w:type="dxa"/>
          </w:tcPr>
          <w:p w14:paraId="07092706">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1:800</w:t>
            </w:r>
            <w:r>
              <w:rPr>
                <w:rFonts w:ascii="微软雅黑 Light" w:hAnsi="微软雅黑 Light" w:eastAsiaTheme="minorEastAsia"/>
                <w:b/>
                <w:bCs/>
                <w:lang w:eastAsia="zh-CN"/>
              </w:rPr>
              <w:br w:type="textWrapping"/>
            </w:r>
            <w:r>
              <w:rPr>
                <w:rFonts w:hint="eastAsia" w:ascii="微软雅黑 Light" w:hAnsi="微软雅黑 Light" w:eastAsia="微软雅黑 Light"/>
                <w:b/>
                <w:bCs/>
                <w:lang w:eastAsia="zh-CN"/>
              </w:rPr>
              <w:t>1:1000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1:2000</w:t>
            </w:r>
          </w:p>
        </w:tc>
        <w:tc>
          <w:tcPr>
            <w:tcW w:w="2516" w:type="dxa"/>
          </w:tcPr>
          <w:p w14:paraId="052AB7E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1:400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1:1000</w:t>
            </w:r>
          </w:p>
        </w:tc>
      </w:tr>
      <w:tr w14:paraId="3C49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3E2EAB5E">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1F71106A">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1000</w:t>
            </w:r>
          </w:p>
        </w:tc>
        <w:tc>
          <w:tcPr>
            <w:tcW w:w="2516" w:type="dxa"/>
          </w:tcPr>
          <w:p w14:paraId="4F8F6F20">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1:800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1:1000</w:t>
            </w:r>
          </w:p>
        </w:tc>
        <w:tc>
          <w:tcPr>
            <w:tcW w:w="2516" w:type="dxa"/>
          </w:tcPr>
          <w:p w14:paraId="4CA6F671">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1:400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1:500</w:t>
            </w:r>
          </w:p>
        </w:tc>
      </w:tr>
      <w:tr w14:paraId="40A4B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5CB95242">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4C959873">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2000</w:t>
            </w:r>
          </w:p>
        </w:tc>
        <w:tc>
          <w:tcPr>
            <w:tcW w:w="2516" w:type="dxa"/>
          </w:tcPr>
          <w:p w14:paraId="220651E4">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1:800</w:t>
            </w:r>
          </w:p>
        </w:tc>
        <w:tc>
          <w:tcPr>
            <w:tcW w:w="2516" w:type="dxa"/>
          </w:tcPr>
          <w:p w14:paraId="678050B2">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1:400</w:t>
            </w:r>
          </w:p>
        </w:tc>
      </w:tr>
      <w:tr w14:paraId="69E5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0A280B3F">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3D4432B9">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50000</w:t>
            </w:r>
          </w:p>
        </w:tc>
        <w:tc>
          <w:tcPr>
            <w:tcW w:w="2516" w:type="dxa"/>
          </w:tcPr>
          <w:p w14:paraId="7C5ABDF1">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1:500</w:t>
            </w:r>
          </w:p>
        </w:tc>
        <w:tc>
          <w:tcPr>
            <w:tcW w:w="2516" w:type="dxa"/>
          </w:tcPr>
          <w:p w14:paraId="4035C57B">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w:t>
            </w:r>
          </w:p>
        </w:tc>
      </w:tr>
      <w:tr w14:paraId="15410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3021CF03">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1C0F65B5">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100000</w:t>
            </w:r>
          </w:p>
        </w:tc>
        <w:tc>
          <w:tcPr>
            <w:tcW w:w="2516" w:type="dxa"/>
          </w:tcPr>
          <w:p w14:paraId="15BD8C66">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w:t>
            </w:r>
          </w:p>
        </w:tc>
        <w:tc>
          <w:tcPr>
            <w:tcW w:w="2516" w:type="dxa"/>
          </w:tcPr>
          <w:p w14:paraId="23BFEF03">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1:200</w:t>
            </w:r>
          </w:p>
        </w:tc>
      </w:tr>
      <w:tr w14:paraId="2476D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7A4E0EDA">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1F9CB317">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150000</w:t>
            </w:r>
          </w:p>
        </w:tc>
        <w:tc>
          <w:tcPr>
            <w:tcW w:w="2516" w:type="dxa"/>
          </w:tcPr>
          <w:p w14:paraId="598F306D">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p>
        </w:tc>
        <w:tc>
          <w:tcPr>
            <w:tcW w:w="2516" w:type="dxa"/>
          </w:tcPr>
          <w:p w14:paraId="6541B2D7">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r>
              <w:rPr>
                <w:rFonts w:ascii="微软雅黑 Light" w:hAnsi="微软雅黑 Light" w:eastAsia="微软雅黑 Light"/>
                <w:b/>
                <w:bCs/>
                <w:lang w:eastAsia="zh-CN"/>
              </w:rPr>
              <w:br w:type="textWrapping"/>
            </w:r>
            <w:r>
              <w:rPr>
                <w:rFonts w:hint="eastAsia" w:ascii="微软雅黑 Light" w:hAnsi="微软雅黑 Light" w:eastAsia="PMingLiU"/>
                <w:b/>
                <w:bCs/>
                <w:lang w:eastAsia="zh-TW"/>
              </w:rPr>
              <w:t>1:100</w:t>
            </w:r>
          </w:p>
        </w:tc>
      </w:tr>
      <w:tr w14:paraId="6A3B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7EDD8D7D">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1489FD4F">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TW"/>
              </w:rPr>
              <w:t>≥</w:t>
            </w:r>
            <w:r>
              <w:rPr>
                <w:rFonts w:hint="eastAsia" w:ascii="微软雅黑 Light" w:hAnsi="微软雅黑 Light" w:eastAsia="PMingLiU"/>
                <w:b/>
                <w:bCs/>
                <w:lang w:eastAsia="zh-TW"/>
              </w:rPr>
              <w:t>200000</w:t>
            </w:r>
          </w:p>
        </w:tc>
        <w:tc>
          <w:tcPr>
            <w:tcW w:w="2516" w:type="dxa"/>
          </w:tcPr>
          <w:p w14:paraId="0CC76DC9">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p>
        </w:tc>
        <w:tc>
          <w:tcPr>
            <w:tcW w:w="2516" w:type="dxa"/>
          </w:tcPr>
          <w:p w14:paraId="59CB6054">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PMingLiU"/>
                <w:b/>
                <w:bCs/>
                <w:lang w:eastAsia="zh-TW"/>
              </w:rPr>
              <w:t>1:50</w:t>
            </w:r>
          </w:p>
        </w:tc>
      </w:tr>
    </w:tbl>
    <w:p w14:paraId="7A2799A5">
      <w:pPr>
        <w:pStyle w:val="2"/>
        <w:spacing w:before="200" w:line="360" w:lineRule="auto"/>
        <w:ind w:left="0" w:leftChars="0" w:firstLine="0" w:firstLineChars="0"/>
        <w:rPr>
          <w:rFonts w:hint="eastAsia" w:ascii="PMingLiU" w:hAnsi="PMingLiU" w:eastAsiaTheme="minorEastAsia"/>
          <w:lang w:eastAsia="zh-TW"/>
        </w:rPr>
      </w:pPr>
    </w:p>
    <w:p w14:paraId="44D162A0">
      <w:pPr>
        <w:pStyle w:val="2"/>
        <w:spacing w:before="200" w:line="360" w:lineRule="auto"/>
        <w:rPr>
          <w:rFonts w:hint="eastAsia" w:ascii="PMingLiU" w:hAnsi="PMingLiU" w:eastAsia="PMingLiU"/>
          <w:b/>
          <w:bCs/>
          <w:lang w:eastAsia="zh-TW"/>
        </w:rPr>
      </w:pPr>
      <w:r>
        <w:rPr>
          <w:rFonts w:hint="eastAsia" w:ascii="PMingLiU" w:hAnsi="PMingLiU" w:eastAsia="PMingLiU"/>
          <w:b/>
          <w:bCs/>
          <w:lang w:eastAsia="zh-TW"/>
        </w:rPr>
        <w:t>最低保證金要求</w:t>
      </w:r>
      <w:bookmarkStart w:id="0" w:name="_GoBack"/>
      <w:bookmarkEnd w:id="0"/>
    </w:p>
    <w:p w14:paraId="7F0A2E56">
      <w:pPr>
        <w:pStyle w:val="2"/>
        <w:spacing w:before="200" w:line="360" w:lineRule="auto"/>
        <w:rPr>
          <w:rFonts w:hint="eastAsia" w:ascii="PMingLiU" w:hAnsi="PMingLiU" w:eastAsia="PMingLiU"/>
          <w:lang w:eastAsia="zh-TW"/>
        </w:rPr>
      </w:pPr>
      <w:r>
        <w:rPr>
          <w:rFonts w:hint="eastAsia" w:ascii="PMingLiU" w:hAnsi="PMingLiU" w:eastAsia="PMingLiU"/>
          <w:lang w:eastAsia="zh-TW"/>
        </w:rPr>
        <w:t xml:space="preserve">保證金追加（保證金使用 </w:t>
      </w:r>
      <w:r>
        <w:rPr>
          <w:rFonts w:ascii="Cambria Math" w:hAnsi="Cambria Math" w:eastAsia="PMingLiU" w:cs="Cambria Math"/>
          <w:lang w:eastAsia="zh-TW"/>
        </w:rPr>
        <w:t>≥</w:t>
      </w:r>
      <w:r>
        <w:rPr>
          <w:rFonts w:hint="eastAsia" w:ascii="PMingLiU" w:hAnsi="PMingLiU" w:eastAsia="PMingLiU" w:cs="Cambria Math"/>
          <w:lang w:eastAsia="zh-TW"/>
        </w:rPr>
        <w:t xml:space="preserve"> </w:t>
      </w:r>
      <w:r>
        <w:rPr>
          <w:rFonts w:hint="eastAsia" w:ascii="PMingLiU" w:hAnsi="PMingLiU" w:eastAsia="PMingLiU"/>
          <w:lang w:eastAsia="zh-TW"/>
        </w:rPr>
        <w:t>100% ） - 是指客戶因保證金不足而無法單邊調整倉位。此時客戶可以關閉或減小現有倉位,以減少暴露倉位。在保證金追加的狀態下 ，訂單不會被自動關閉。系統將不會執行所有未執行的買入/賣出掛單，防止進一步增加暴露倉位。</w:t>
      </w:r>
    </w:p>
    <w:p w14:paraId="5C7D9B0D">
      <w:pPr>
        <w:pStyle w:val="2"/>
        <w:spacing w:before="200" w:line="360" w:lineRule="auto"/>
        <w:rPr>
          <w:rFonts w:hint="eastAsia" w:ascii="PMingLiU" w:hAnsi="PMingLiU" w:eastAsiaTheme="minorEastAsia"/>
          <w:b/>
          <w:bCs/>
          <w:lang w:eastAsia="zh-TW"/>
        </w:rPr>
      </w:pPr>
    </w:p>
    <w:p w14:paraId="157E212D">
      <w:pPr>
        <w:pStyle w:val="2"/>
        <w:spacing w:before="200" w:line="360" w:lineRule="auto"/>
        <w:rPr>
          <w:rFonts w:hint="eastAsia" w:ascii="PMingLiU" w:hAnsi="PMingLiU" w:eastAsiaTheme="minorEastAsia"/>
          <w:b/>
          <w:bCs/>
          <w:lang w:eastAsia="zh-TW"/>
        </w:rPr>
      </w:pPr>
    </w:p>
    <w:p w14:paraId="44A0903A">
      <w:pPr>
        <w:pStyle w:val="2"/>
        <w:spacing w:before="200" w:line="360" w:lineRule="auto"/>
        <w:rPr>
          <w:rFonts w:hint="eastAsia" w:ascii="PMingLiU" w:hAnsi="PMingLiU" w:eastAsia="PMingLiU"/>
          <w:b/>
          <w:bCs/>
          <w:lang w:eastAsia="zh-TW"/>
        </w:rPr>
      </w:pPr>
      <w:r>
        <w:rPr>
          <w:rFonts w:hint="eastAsia" w:ascii="PMingLiU" w:hAnsi="PMingLiU" w:eastAsia="PMingLiU"/>
          <w:b/>
          <w:bCs/>
          <w:lang w:eastAsia="zh-TW"/>
        </w:rPr>
        <w:t>風險披露</w:t>
      </w:r>
    </w:p>
    <w:p w14:paraId="436C32DD">
      <w:pPr>
        <w:pStyle w:val="2"/>
        <w:spacing w:before="200" w:line="360" w:lineRule="auto"/>
        <w:rPr>
          <w:rFonts w:hint="eastAsia" w:ascii="PMingLiU" w:hAnsi="PMingLiU" w:eastAsia="PMingLiU"/>
          <w:lang w:eastAsia="zh-TW"/>
        </w:rPr>
      </w:pPr>
      <w:r>
        <w:rPr>
          <w:rFonts w:hint="eastAsia" w:ascii="PMingLiU" w:hAnsi="PMingLiU" w:eastAsia="PMingLiU"/>
          <w:lang w:eastAsia="zh-TW"/>
        </w:rPr>
        <w:t>保證金交易帶有高風險，可能不適合所有投資者。所以我們強烈建議保持杠杆在正常水準。客戶必須始終牢記，保證金交易能放大潛在的的損失以及盈利，而投資本金也可能在市場價格強烈波動的情況下，因高杠杆比率而導致快速虧損。客戶應自行負責對保證金維持的監測，並確保帳戶有足夠的保證金維持交易金額。</w:t>
      </w:r>
    </w:p>
    <w:p w14:paraId="2B69BD60">
      <w:pPr>
        <w:rPr>
          <w:rFonts w:hint="eastAsia" w:ascii="PMingLiU" w:hAnsi="PMingLiU" w:eastAsia="PMingLiU"/>
          <w:lang w:eastAsia="zh-TW"/>
        </w:rPr>
      </w:pPr>
      <w:r>
        <w:rPr>
          <w:rFonts w:hint="eastAsia" w:ascii="PMingLiU" w:hAnsi="PMingLiU" w:eastAsia="PMingLiU"/>
          <w:lang w:eastAsia="zh-TW"/>
        </w:rPr>
        <w:br w:type="page"/>
      </w:r>
    </w:p>
    <w:p w14:paraId="76239677">
      <w:pPr>
        <w:pStyle w:val="2"/>
        <w:spacing w:line="360" w:lineRule="auto"/>
        <w:ind w:left="1320" w:leftChars="600" w:right="660" w:rightChars="300"/>
        <w:rPr>
          <w:rFonts w:hint="eastAsia" w:ascii="微软雅黑" w:hAnsi="微软雅黑" w:eastAsia="微软雅黑"/>
          <w:sz w:val="18"/>
          <w:szCs w:val="18"/>
          <w:lang w:eastAsia="zh-CN"/>
        </w:rPr>
      </w:pPr>
      <w:r>
        <w:rPr>
          <w:rFonts w:hint="eastAsia" w:ascii="微软雅黑" w:hAnsi="微软雅黑" w:eastAsia="微软雅黑"/>
          <w:sz w:val="18"/>
          <w:szCs w:val="18"/>
          <w:lang w:eastAsia="zh-TW" w:bidi="fr-FR"/>
        </w:rPr>
        <w:t>風險警示： 交易外匯和杠杆化金融品種具有高風險，可能導致您損失本金。您所承擔的虧損風險不應超過您的承受能力，請確保您完全理解 其中所涉的風險。交易杠杆化產品並不適合所有投資者。在交易前，請考慮您的經驗水準、投資目標，如有必要請尋求獨立財務建議。客戶 有責任確保他/她所居住國法律要求允許其使用IEXS品牌提供的服務。請閱讀IEXS風險披露全文。</w:t>
      </w:r>
    </w:p>
    <w:p w14:paraId="4E5040DA">
      <w:pPr>
        <w:pStyle w:val="2"/>
        <w:spacing w:line="360" w:lineRule="auto"/>
        <w:ind w:left="1320" w:leftChars="600" w:right="660" w:rightChars="300"/>
        <w:rPr>
          <w:rFonts w:hint="eastAsia" w:ascii="微软雅黑" w:hAnsi="微软雅黑" w:eastAsia="微软雅黑"/>
          <w:sz w:val="18"/>
          <w:szCs w:val="18"/>
          <w:lang w:eastAsia="zh-CN"/>
        </w:rPr>
      </w:pPr>
    </w:p>
    <w:p w14:paraId="77D4BB24">
      <w:pPr>
        <w:pStyle w:val="2"/>
        <w:numPr>
          <w:ilvl w:val="0"/>
          <w:numId w:val="1"/>
        </w:numPr>
        <w:spacing w:before="0" w:line="360" w:lineRule="auto"/>
        <w:ind w:left="1320" w:leftChars="600" w:right="660" w:rightChars="300"/>
        <w:jc w:val="left"/>
        <w:rPr>
          <w:rFonts w:hint="eastAsia" w:ascii="微软雅黑" w:hAnsi="微软雅黑" w:eastAsia="微软雅黑"/>
          <w:sz w:val="18"/>
          <w:szCs w:val="18"/>
          <w:lang w:eastAsia="zh-CN" w:bidi="fr-FR"/>
        </w:rPr>
      </w:pPr>
      <w:r>
        <w:rPr>
          <w:rFonts w:hint="eastAsia" w:ascii="微软雅黑" w:hAnsi="微软雅黑" w:eastAsia="微软雅黑"/>
          <w:sz w:val="18"/>
          <w:szCs w:val="18"/>
          <w:lang w:eastAsia="zh-CN" w:bidi="fr-FR"/>
        </w:rPr>
        <w:t>VIEXS-Vision Intergrated Exchange LTD（UK）.由英國金融行爲監管局（FCA）授權並受其監管，FCA許可證號碼為 923324.</w:t>
      </w:r>
    </w:p>
    <w:p w14:paraId="371C4D03">
      <w:pPr>
        <w:pStyle w:val="2"/>
        <w:numPr>
          <w:ilvl w:val="0"/>
          <w:numId w:val="1"/>
        </w:numPr>
        <w:spacing w:before="0" w:line="360" w:lineRule="auto"/>
        <w:ind w:left="1320" w:leftChars="600" w:right="660" w:rightChars="300"/>
        <w:jc w:val="left"/>
        <w:rPr>
          <w:rFonts w:hint="eastAsia" w:ascii="微软雅黑" w:hAnsi="微软雅黑" w:eastAsia="微软雅黑"/>
          <w:sz w:val="18"/>
          <w:szCs w:val="18"/>
          <w:lang w:eastAsia="zh-CN" w:bidi="fr-FR"/>
        </w:rPr>
      </w:pPr>
      <w:r>
        <w:rPr>
          <w:rFonts w:hint="eastAsia" w:ascii="微软雅黑" w:hAnsi="微软雅黑" w:eastAsia="微软雅黑"/>
          <w:sz w:val="18"/>
          <w:szCs w:val="18"/>
          <w:lang w:eastAsia="zh-CN" w:bidi="fr-FR"/>
        </w:rPr>
        <w:t>IEXS MARKETS PTY LTD (AUS)由澳大利亞證券和投資委員會（ASIC）授權並受其監管，監管號碼為541328</w:t>
      </w:r>
    </w:p>
    <w:p w14:paraId="53C34C86">
      <w:pPr>
        <w:pStyle w:val="2"/>
        <w:numPr>
          <w:ilvl w:val="0"/>
          <w:numId w:val="1"/>
        </w:numPr>
        <w:spacing w:before="0" w:line="360" w:lineRule="auto"/>
        <w:ind w:left="1320" w:leftChars="600" w:right="660" w:rightChars="300"/>
        <w:jc w:val="left"/>
        <w:rPr>
          <w:rFonts w:hint="eastAsia" w:ascii="微软雅黑" w:hAnsi="微软雅黑" w:eastAsia="微软雅黑"/>
          <w:sz w:val="18"/>
          <w:szCs w:val="18"/>
          <w:lang w:eastAsia="zh-CN" w:bidi="fr-FR"/>
        </w:rPr>
      </w:pPr>
      <w:r>
        <w:rPr>
          <w:rFonts w:hint="eastAsia" w:ascii="微软雅黑" w:hAnsi="微软雅黑" w:eastAsia="微软雅黑"/>
          <w:sz w:val="18"/>
          <w:szCs w:val="18"/>
          <w:lang w:eastAsia="zh-CN" w:bidi="fr-FR"/>
        </w:rPr>
        <w:t>IEXS LLC (SV) 其註冊地址為First Floor, First St Vincent Bank Ltd  Building, James Street, Kingstown, St. Vincent and the Grenadines.  註冊編號為282 LLC 2020.</w:t>
      </w:r>
    </w:p>
    <w:p w14:paraId="065B81C2">
      <w:pPr>
        <w:pStyle w:val="2"/>
        <w:numPr>
          <w:ilvl w:val="0"/>
          <w:numId w:val="1"/>
        </w:numPr>
        <w:spacing w:before="0" w:line="360" w:lineRule="auto"/>
        <w:ind w:left="1320" w:leftChars="600" w:right="660" w:rightChars="300"/>
        <w:jc w:val="left"/>
        <w:rPr>
          <w:rFonts w:hint="eastAsia" w:ascii="微软雅黑" w:hAnsi="微软雅黑" w:eastAsia="微软雅黑"/>
          <w:sz w:val="18"/>
          <w:szCs w:val="18"/>
          <w:lang w:eastAsia="zh-CN" w:bidi="fr-FR"/>
        </w:rPr>
      </w:pPr>
      <w:r>
        <w:rPr>
          <w:rFonts w:hint="eastAsia" w:ascii="微软雅黑" w:hAnsi="微软雅黑" w:eastAsia="微软雅黑"/>
          <w:sz w:val="18"/>
          <w:szCs w:val="18"/>
          <w:lang w:eastAsia="zh-CN" w:bidi="fr-FR"/>
        </w:rPr>
        <w:t>IEXS Group Ltd (BVI) 根據英屬維爾京群島商業公司法，Intershore Chambers, Road Town, Tortola, British Virgin Islands.</w:t>
      </w:r>
    </w:p>
    <w:p w14:paraId="7F8D911E">
      <w:pPr>
        <w:pStyle w:val="2"/>
        <w:numPr>
          <w:ilvl w:val="0"/>
          <w:numId w:val="1"/>
        </w:numPr>
        <w:spacing w:before="0" w:line="360" w:lineRule="auto"/>
        <w:ind w:left="1320" w:leftChars="600" w:right="660" w:rightChars="300"/>
        <w:jc w:val="left"/>
        <w:rPr>
          <w:rFonts w:hint="eastAsia" w:ascii="微软雅黑" w:hAnsi="微软雅黑" w:eastAsia="微软雅黑"/>
          <w:sz w:val="18"/>
          <w:szCs w:val="18"/>
          <w:lang w:eastAsia="zh-CN" w:bidi="fr-FR"/>
        </w:rPr>
      </w:pPr>
      <w:r>
        <w:rPr>
          <w:rFonts w:hint="eastAsia" w:ascii="微软雅黑" w:hAnsi="微软雅黑" w:eastAsia="微软雅黑"/>
          <w:sz w:val="18"/>
          <w:szCs w:val="18"/>
          <w:lang w:eastAsia="zh-CN" w:bidi="fr-FR"/>
        </w:rPr>
        <w:t>IEXS GLOBAL LTD (BAH) 由巴哈馬證券委員會（SCB）授權並受其監管，監管號碼為SIA-F257</w:t>
      </w:r>
    </w:p>
    <w:p w14:paraId="75051B17">
      <w:pPr>
        <w:pStyle w:val="2"/>
        <w:spacing w:line="360" w:lineRule="auto"/>
        <w:ind w:left="1320" w:leftChars="600" w:right="660" w:rightChars="300"/>
        <w:rPr>
          <w:rFonts w:hint="eastAsia" w:ascii="微软雅黑" w:hAnsi="微软雅黑" w:eastAsia="微软雅黑"/>
          <w:sz w:val="18"/>
          <w:szCs w:val="18"/>
          <w:lang w:eastAsia="zh-TW"/>
        </w:rPr>
      </w:pPr>
      <w:r>
        <w:rPr>
          <w:rFonts w:hint="eastAsia" w:ascii="微软雅黑" w:hAnsi="微软雅黑" w:eastAsia="微软雅黑"/>
          <w:sz w:val="18"/>
          <w:szCs w:val="18"/>
          <w:lang w:eastAsia="zh-CN" w:bidi="fr-FR"/>
        </w:rPr>
        <w:t>法律管制：IEXS LLC是在聖文森特和格林納丁斯成立的有限責任公司，注冊號為282 LLC2020, 本公司根據聖文森特和格林納丁斯法律《有限責任公司法》（修訂版）第151章, Companies Act, Chapter 151 of the Revised Law of Saint Vincent and the Grenadines,2009 經營。</w:t>
      </w:r>
      <w:r>
        <w:rPr>
          <w:rFonts w:hint="eastAsia" w:ascii="微软雅黑" w:hAnsi="微软雅黑" w:eastAsia="微软雅黑"/>
          <w:sz w:val="18"/>
          <w:szCs w:val="18"/>
          <w:lang w:eastAsia="zh-TW" w:bidi="fr-FR"/>
        </w:rPr>
        <w:t>尤其但不僅限於所有商業，金融，貸款，借款，貿易，服務活動以及參與其他企業，以及提供外滙,差價合約和杠杆金融工具，大宗商品，股票指數。</w:t>
      </w:r>
    </w:p>
    <w:p w14:paraId="5FED3079">
      <w:pPr>
        <w:pStyle w:val="2"/>
        <w:spacing w:line="360" w:lineRule="auto"/>
        <w:ind w:left="1320" w:leftChars="600" w:right="660" w:rightChars="300"/>
        <w:rPr>
          <w:rFonts w:hint="eastAsia" w:ascii="微软雅黑" w:hAnsi="微软雅黑" w:eastAsia="微软雅黑"/>
          <w:sz w:val="18"/>
          <w:szCs w:val="18"/>
          <w:lang w:eastAsia="zh-TW"/>
        </w:rPr>
      </w:pPr>
      <w:r>
        <w:rPr>
          <w:rFonts w:hint="eastAsia" w:ascii="微软雅黑" w:hAnsi="微软雅黑" w:eastAsia="微软雅黑"/>
          <w:sz w:val="18"/>
          <w:szCs w:val="18"/>
          <w:lang w:eastAsia="zh-TW" w:bidi="fr-FR"/>
        </w:rPr>
        <w:t>免責聲明：此頁面的內容僅供參考，不作為建議或建議。IEXS發佈的廣告中包含的任何有關過去表現或模擬過去表現的指示都不是未來結果 的可靠指標。對於在IEXS證券進行的所有業務或投資，客戶承擔全部責任。</w:t>
      </w:r>
    </w:p>
    <w:p w14:paraId="29697A2F">
      <w:pPr>
        <w:pStyle w:val="2"/>
        <w:spacing w:line="360" w:lineRule="auto"/>
        <w:ind w:left="1320" w:leftChars="600" w:right="660" w:rightChars="300"/>
        <w:rPr>
          <w:rFonts w:hint="eastAsia" w:ascii="微软雅黑" w:hAnsi="微软雅黑" w:eastAsia="微软雅黑"/>
          <w:sz w:val="18"/>
          <w:szCs w:val="18"/>
          <w:lang w:eastAsia="zh-TW"/>
        </w:rPr>
      </w:pPr>
      <w:r>
        <w:rPr>
          <w:rFonts w:hint="eastAsia" w:ascii="微软雅黑" w:hAnsi="微软雅黑" w:eastAsia="微软雅黑"/>
          <w:sz w:val="18"/>
          <w:szCs w:val="18"/>
          <w:lang w:eastAsia="zh-TW" w:bidi="fr-FR"/>
        </w:rPr>
        <w:t>IEXS LLC不向某些司法管轄區的居民提供服務，包括美國、伊朗、朝鮮、古巴、伊拉克、敘利亞、加拿大和中國台灣。本內容資訊不向身處與發布或使用該資訊有違當地法律法規的國家或管轄地之人發送或供其使用。敬請注意中文語言服務並不保證在任何時候均能提供。英語是我們服務所使用的主要語言，亦是我們所有合同檔中具有法律效力的語言。</w:t>
      </w:r>
    </w:p>
    <w:p w14:paraId="7BBB1849">
      <w:pPr>
        <w:pStyle w:val="2"/>
        <w:spacing w:before="200" w:line="360" w:lineRule="auto"/>
        <w:rPr>
          <w:rFonts w:hint="eastAsia" w:ascii="PMingLiU" w:hAnsi="PMingLiU" w:eastAsia="PMingLiU"/>
          <w:lang w:eastAsia="zh-TW"/>
        </w:rPr>
      </w:pPr>
    </w:p>
    <w:sectPr>
      <w:headerReference r:id="rId3" w:type="default"/>
      <w:footerReference r:id="rId4" w:type="default"/>
      <w:type w:val="continuous"/>
      <w:pgSz w:w="11920" w:h="16850"/>
      <w:pgMar w:top="2000" w:right="992" w:bottom="1080" w:left="992" w:header="521" w:footer="88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Light">
    <w:panose1 w:val="020B0502040204020203"/>
    <w:charset w:val="00"/>
    <w:family w:val="swiss"/>
    <w:pitch w:val="default"/>
    <w:sig w:usb0="E4002EFF" w:usb1="C000E47F"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Microsoft JhengHei UI">
    <w:panose1 w:val="020B0604030504040204"/>
    <w:charset w:val="88"/>
    <w:family w:val="auto"/>
    <w:pitch w:val="default"/>
    <w:sig w:usb0="000002A7" w:usb1="28CF4400" w:usb2="00000016" w:usb3="00000000" w:csb0="00100009" w:csb1="00000000"/>
  </w:font>
  <w:font w:name="KSOFA61C387F">
    <w:panose1 w:val="020B0604030504040204"/>
    <w:charset w:val="88"/>
    <w:family w:val="auto"/>
    <w:pitch w:val="default"/>
    <w:sig w:usb0="00000001" w:usb1="00000000"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A9CBD">
    <w:pPr>
      <w:pStyle w:val="2"/>
      <w:spacing w:before="0" w:line="14" w:lineRule="auto"/>
      <w:ind w:left="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6701790</wp:posOffset>
              </wp:positionH>
              <wp:positionV relativeFrom="page">
                <wp:posOffset>9990455</wp:posOffset>
              </wp:positionV>
              <wp:extent cx="96520"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96520" cy="165735"/>
                      </a:xfrm>
                      <a:prstGeom prst="rect">
                        <a:avLst/>
                      </a:prstGeom>
                    </wps:spPr>
                    <wps:txbx>
                      <w:txbxContent>
                        <w:p w14:paraId="3BB0B9A9">
                          <w:pPr>
                            <w:pStyle w:val="2"/>
                            <w:spacing w:before="0" w:line="245" w:lineRule="exact"/>
                            <w:ind w:left="20"/>
                            <w:jc w:val="left"/>
                            <w:rPr>
                              <w:rFonts w:ascii="Calibri" w:eastAsiaTheme="minorEastAsia"/>
                              <w:lang w:eastAsia="zh-CN"/>
                            </w:rPr>
                          </w:pPr>
                        </w:p>
                      </w:txbxContent>
                    </wps:txbx>
                    <wps:bodyPr wrap="square" lIns="0" tIns="0" rIns="0" bIns="0" rtlCol="0">
                      <a:noAutofit/>
                    </wps:bodyPr>
                  </wps:wsp>
                </a:graphicData>
              </a:graphic>
            </wp:anchor>
          </w:drawing>
        </mc:Choice>
        <mc:Fallback>
          <w:pict>
            <v:shape id="Textbox 3" o:spid="_x0000_s1026" o:spt="202" type="#_x0000_t202" style="position:absolute;left:0pt;margin-left:527.7pt;margin-top:786.65pt;height:13.05pt;width:7.6pt;mso-position-horizontal-relative:page;mso-position-vertical-relative:page;z-index:-251655168;mso-width-relative:page;mso-height-relative:page;" filled="f" stroked="f" coordsize="21600,21600" o:gfxdata="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JRG83AAAAA8BAAAPAAAAAAAAAAEAIAAAACIAAABkcnMvZG93bnJldi54bWxQSwECFAAUAAAA&#10;CACHTuJAY1PvX7EBAAByAwAADgAAAAAAAAABACAAAAArAQAAZHJzL2Uyb0RvYy54bWxQSwUGAAAA&#10;AAYABgBZAQAATgUAAAAA&#10;">
              <v:fill on="f" focussize="0,0"/>
              <v:stroke on="f"/>
              <v:imagedata o:title=""/>
              <o:lock v:ext="edit" aspectratio="f"/>
              <v:textbox inset="0mm,0mm,0mm,0mm">
                <w:txbxContent>
                  <w:p w14:paraId="3BB0B9A9">
                    <w:pPr>
                      <w:pStyle w:val="2"/>
                      <w:spacing w:before="0" w:line="245" w:lineRule="exact"/>
                      <w:ind w:left="20"/>
                      <w:jc w:val="left"/>
                      <w:rPr>
                        <w:rFonts w:ascii="Calibri" w:eastAsiaTheme="minorEastAsia"/>
                        <w:lang w:eastAsia="zh-CN"/>
                      </w:rPr>
                    </w:pP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726440</wp:posOffset>
              </wp:positionH>
              <wp:positionV relativeFrom="page">
                <wp:posOffset>10012680</wp:posOffset>
              </wp:positionV>
              <wp:extent cx="2153920" cy="152400"/>
              <wp:effectExtent l="0" t="0" r="0" b="0"/>
              <wp:wrapNone/>
              <wp:docPr id="4" name="Textbox 4"/>
              <wp:cNvGraphicFramePr/>
              <a:graphic xmlns:a="http://schemas.openxmlformats.org/drawingml/2006/main">
                <a:graphicData uri="http://schemas.microsoft.com/office/word/2010/wordprocessingShape">
                  <wps:wsp>
                    <wps:cNvSpPr txBox="1"/>
                    <wps:spPr>
                      <a:xfrm>
                        <a:off x="0" y="0"/>
                        <a:ext cx="2153920" cy="152400"/>
                      </a:xfrm>
                      <a:prstGeom prst="rect">
                        <a:avLst/>
                      </a:prstGeom>
                    </wps:spPr>
                    <wps:txbx>
                      <w:txbxContent>
                        <w:p w14:paraId="7F7CCF07">
                          <w:pPr>
                            <w:spacing w:line="223" w:lineRule="exact"/>
                            <w:ind w:left="20"/>
                            <w:rPr>
                              <w:rFonts w:ascii="Calibri" w:eastAsiaTheme="minorEastAsia"/>
                              <w:sz w:val="20"/>
                              <w:lang w:eastAsia="zh-CN"/>
                            </w:rPr>
                          </w:pPr>
                          <w:r>
                            <w:rPr>
                              <w:rFonts w:hint="eastAsia" w:ascii="Calibri" w:eastAsiaTheme="minorEastAsia"/>
                              <w:color w:val="FF0000"/>
                              <w:sz w:val="20"/>
                              <w:lang w:eastAsia="zh-CN"/>
                            </w:rPr>
                            <w:t xml:space="preserve">賬戶杠桿説明 </w:t>
                          </w:r>
                          <w:r>
                            <w:rPr>
                              <w:rFonts w:ascii="Calibri"/>
                              <w:color w:val="808080"/>
                              <w:sz w:val="20"/>
                            </w:rPr>
                            <w:t>|</w:t>
                          </w:r>
                          <w:r>
                            <w:rPr>
                              <w:rFonts w:ascii="Calibri"/>
                              <w:color w:val="808080"/>
                              <w:spacing w:val="-7"/>
                              <w:sz w:val="20"/>
                            </w:rPr>
                            <w:t xml:space="preserve"> </w:t>
                          </w:r>
                          <w:r>
                            <w:rPr>
                              <w:rFonts w:ascii="Calibri"/>
                              <w:spacing w:val="-2"/>
                              <w:sz w:val="20"/>
                            </w:rPr>
                            <w:t>WWW.IEXS.</w:t>
                          </w:r>
                          <w:r>
                            <w:rPr>
                              <w:rFonts w:hint="eastAsia" w:ascii="Calibri" w:eastAsiaTheme="minorEastAsia"/>
                              <w:spacing w:val="-2"/>
                              <w:sz w:val="20"/>
                              <w:lang w:eastAsia="zh-CN"/>
                            </w:rPr>
                            <w:t>ASIA</w:t>
                          </w:r>
                        </w:p>
                      </w:txbxContent>
                    </wps:txbx>
                    <wps:bodyPr wrap="square" lIns="0" tIns="0" rIns="0" bIns="0" rtlCol="0">
                      <a:noAutofit/>
                    </wps:bodyPr>
                  </wps:wsp>
                </a:graphicData>
              </a:graphic>
            </wp:anchor>
          </w:drawing>
        </mc:Choice>
        <mc:Fallback>
          <w:pict>
            <v:shape id="Textbox 4" o:spid="_x0000_s1026" o:spt="202" type="#_x0000_t202" style="position:absolute;left:0pt;margin-left:57.2pt;margin-top:788.4pt;height:12pt;width:169.6pt;mso-position-horizontal-relative:page;mso-position-vertical-relative:page;z-index:-251655168;mso-width-relative:page;mso-height-relative:page;" filled="f" stroked="f" coordsize="21600,21600" o:gfxdata="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oZHNLaAAAADQEAAA8AAAAAAAAAAQAgAAAAIgAAAGRycy9kb3ducmV2LnhtbFBLAQIUABQAAAAI&#10;AIdO4kCNvu/4sgEAAHQDAAAOAAAAAAAAAAEAIAAAACkBAABkcnMvZTJvRG9jLnhtbFBLBQYAAAAA&#10;BgAGAFkBAABNBQAAAAA=&#10;">
              <v:fill on="f" focussize="0,0"/>
              <v:stroke on="f"/>
              <v:imagedata o:title=""/>
              <o:lock v:ext="edit" aspectratio="f"/>
              <v:textbox inset="0mm,0mm,0mm,0mm">
                <w:txbxContent>
                  <w:p w14:paraId="7F7CCF07">
                    <w:pPr>
                      <w:spacing w:line="223" w:lineRule="exact"/>
                      <w:ind w:left="20"/>
                      <w:rPr>
                        <w:rFonts w:ascii="Calibri" w:eastAsiaTheme="minorEastAsia"/>
                        <w:sz w:val="20"/>
                        <w:lang w:eastAsia="zh-CN"/>
                      </w:rPr>
                    </w:pPr>
                    <w:r>
                      <w:rPr>
                        <w:rFonts w:hint="eastAsia" w:ascii="Calibri" w:eastAsiaTheme="minorEastAsia"/>
                        <w:color w:val="FF0000"/>
                        <w:sz w:val="20"/>
                        <w:lang w:eastAsia="zh-CN"/>
                      </w:rPr>
                      <w:t xml:space="preserve">賬戶杠桿説明 </w:t>
                    </w:r>
                    <w:r>
                      <w:rPr>
                        <w:rFonts w:ascii="Calibri"/>
                        <w:color w:val="808080"/>
                        <w:sz w:val="20"/>
                      </w:rPr>
                      <w:t>|</w:t>
                    </w:r>
                    <w:r>
                      <w:rPr>
                        <w:rFonts w:ascii="Calibri"/>
                        <w:color w:val="808080"/>
                        <w:spacing w:val="-7"/>
                        <w:sz w:val="20"/>
                      </w:rPr>
                      <w:t xml:space="preserve"> </w:t>
                    </w:r>
                    <w:r>
                      <w:rPr>
                        <w:rFonts w:ascii="Calibri"/>
                        <w:spacing w:val="-2"/>
                        <w:sz w:val="20"/>
                      </w:rPr>
                      <w:t>WWW.IEXS.</w:t>
                    </w:r>
                    <w:r>
                      <w:rPr>
                        <w:rFonts w:hint="eastAsia" w:ascii="Calibri" w:eastAsiaTheme="minorEastAsia"/>
                        <w:spacing w:val="-2"/>
                        <w:sz w:val="20"/>
                        <w:lang w:eastAsia="zh-CN"/>
                      </w:rPr>
                      <w:t>ASIA</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03E2E">
    <w:pPr>
      <w:pStyle w:val="2"/>
      <w:spacing w:before="0" w:line="14" w:lineRule="auto"/>
      <w:ind w:left="0"/>
      <w:jc w:val="left"/>
      <w:rPr>
        <w:sz w:val="20"/>
      </w:rPr>
    </w:pPr>
    <w:r>
      <w:rPr>
        <w:sz w:val="20"/>
      </w:rPr>
      <w:drawing>
        <wp:anchor distT="0" distB="0" distL="0" distR="0" simplePos="0" relativeHeight="251660288" behindDoc="1" locked="0" layoutInCell="1" allowOverlap="1">
          <wp:simplePos x="0" y="0"/>
          <wp:positionH relativeFrom="page">
            <wp:posOffset>5235575</wp:posOffset>
          </wp:positionH>
          <wp:positionV relativeFrom="page">
            <wp:posOffset>330200</wp:posOffset>
          </wp:positionV>
          <wp:extent cx="1625600" cy="315595"/>
          <wp:effectExtent l="0" t="0" r="0" b="0"/>
          <wp:wrapNone/>
          <wp:docPr id="315369982" name="Image 1"/>
          <wp:cNvGraphicFramePr/>
          <a:graphic xmlns:a="http://schemas.openxmlformats.org/drawingml/2006/main">
            <a:graphicData uri="http://schemas.openxmlformats.org/drawingml/2006/picture">
              <pic:pic xmlns:pic="http://schemas.openxmlformats.org/drawingml/2006/picture">
                <pic:nvPicPr>
                  <pic:cNvPr id="315369982" name="Image 1"/>
                  <pic:cNvPicPr/>
                </pic:nvPicPr>
                <pic:blipFill>
                  <a:blip r:embed="rId1" cstate="print"/>
                  <a:stretch>
                    <a:fillRect/>
                  </a:stretch>
                </pic:blipFill>
                <pic:spPr>
                  <a:xfrm>
                    <a:off x="0" y="0"/>
                    <a:ext cx="1625599" cy="315722"/>
                  </a:xfrm>
                  <a:prstGeom prst="rect">
                    <a:avLst/>
                  </a:prstGeom>
                </pic:spPr>
              </pic:pic>
            </a:graphicData>
          </a:graphic>
        </wp:anchor>
      </w:drawing>
    </w:r>
    <w:r>
      <w:rPr>
        <w:sz w:val="20"/>
      </w:rPr>
      <mc:AlternateContent>
        <mc:Choice Requires="wps">
          <w:drawing>
            <wp:anchor distT="0" distB="0" distL="0" distR="0" simplePos="0" relativeHeight="251660288" behindDoc="1" locked="0" layoutInCell="1" allowOverlap="1">
              <wp:simplePos x="0" y="0"/>
              <wp:positionH relativeFrom="page">
                <wp:posOffset>673100</wp:posOffset>
              </wp:positionH>
              <wp:positionV relativeFrom="page">
                <wp:posOffset>777240</wp:posOffset>
              </wp:positionV>
              <wp:extent cx="1107440" cy="262890"/>
              <wp:effectExtent l="0" t="0" r="0" b="0"/>
              <wp:wrapNone/>
              <wp:docPr id="2" name="Textbox 2"/>
              <wp:cNvGraphicFramePr/>
              <a:graphic xmlns:a="http://schemas.openxmlformats.org/drawingml/2006/main">
                <a:graphicData uri="http://schemas.microsoft.com/office/word/2010/wordprocessingShape">
                  <wps:wsp>
                    <wps:cNvSpPr txBox="1"/>
                    <wps:spPr>
                      <a:xfrm>
                        <a:off x="0" y="0"/>
                        <a:ext cx="1107440" cy="262890"/>
                      </a:xfrm>
                      <a:prstGeom prst="rect">
                        <a:avLst/>
                      </a:prstGeom>
                    </wps:spPr>
                    <wps:txbx>
                      <w:txbxContent>
                        <w:p w14:paraId="722869CC">
                          <w:pPr>
                            <w:spacing w:before="21"/>
                            <w:ind w:left="20"/>
                            <w:rPr>
                              <w:sz w:val="28"/>
                            </w:rPr>
                          </w:pPr>
                          <w:r>
                            <w:rPr>
                              <w:rFonts w:hint="eastAsia" w:eastAsiaTheme="minorEastAsia"/>
                              <w:sz w:val="28"/>
                              <w:lang w:eastAsia="zh-CN"/>
                            </w:rPr>
                            <w:t>账户杠杆说明</w:t>
                          </w:r>
                          <w:r>
                            <w:rPr>
                              <w:spacing w:val="-8"/>
                              <w:sz w:val="28"/>
                            </w:rPr>
                            <w:t xml:space="preserve"> </w:t>
                          </w:r>
                          <w:r>
                            <w:rPr>
                              <w:spacing w:val="-2"/>
                              <w:sz w:val="28"/>
                            </w:rPr>
                            <w:t>Disclosure</w:t>
                          </w:r>
                        </w:p>
                      </w:txbxContent>
                    </wps:txbx>
                    <wps:bodyPr wrap="square" lIns="0" tIns="0" rIns="0" bIns="0" rtlCol="0">
                      <a:noAutofit/>
                    </wps:bodyPr>
                  </wps:wsp>
                </a:graphicData>
              </a:graphic>
            </wp:anchor>
          </w:drawing>
        </mc:Choice>
        <mc:Fallback>
          <w:pict>
            <v:shape id="Textbox 2" o:spid="_x0000_s1026" o:spt="202" type="#_x0000_t202" style="position:absolute;left:0pt;margin-left:53pt;margin-top:61.2pt;height:20.7pt;width:87.2pt;mso-position-horizontal-relative:page;mso-position-vertical-relative:page;z-index:-251656192;mso-width-relative:page;mso-height-relative:page;" filled="f" stroked="f" coordsize="21600,21600" o:gfxdata="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lBR/O&#10;1gAAAAsBAAAPAAAAAAAAAAEAIAAAACIAAABkcnMvZG93bnJldi54bWxQSwECFAAUAAAACACHTuJA&#10;6T5GgbEBAAB0AwAADgAAAAAAAAABACAAAAAlAQAAZHJzL2Uyb0RvYy54bWxQSwUGAAAAAAYABgBZ&#10;AQAASAUAAAAA&#10;">
              <v:fill on="f" focussize="0,0"/>
              <v:stroke on="f"/>
              <v:imagedata o:title=""/>
              <o:lock v:ext="edit" aspectratio="f"/>
              <v:textbox inset="0mm,0mm,0mm,0mm">
                <w:txbxContent>
                  <w:p w14:paraId="722869CC">
                    <w:pPr>
                      <w:spacing w:before="21"/>
                      <w:ind w:left="20"/>
                      <w:rPr>
                        <w:sz w:val="28"/>
                      </w:rPr>
                    </w:pPr>
                    <w:r>
                      <w:rPr>
                        <w:rFonts w:hint="eastAsia" w:eastAsiaTheme="minorEastAsia"/>
                        <w:sz w:val="28"/>
                        <w:lang w:eastAsia="zh-CN"/>
                      </w:rPr>
                      <w:t>账户杠杆说明</w:t>
                    </w:r>
                    <w:r>
                      <w:rPr>
                        <w:spacing w:val="-8"/>
                        <w:sz w:val="28"/>
                      </w:rPr>
                      <w:t xml:space="preserve"> </w:t>
                    </w:r>
                    <w:r>
                      <w:rPr>
                        <w:spacing w:val="-2"/>
                        <w:sz w:val="28"/>
                      </w:rPr>
                      <w:t>Disclosure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0C7378"/>
    <w:multiLevelType w:val="multilevel"/>
    <w:tmpl w:val="670C7378"/>
    <w:lvl w:ilvl="0" w:tentative="0">
      <w:start w:val="1"/>
      <w:numFmt w:val="bullet"/>
      <w:lvlText w:val="●"/>
      <w:lvlJc w:val="left"/>
      <w:pPr>
        <w:tabs>
          <w:tab w:val="left" w:pos="720"/>
        </w:tabs>
        <w:ind w:left="720" w:hanging="360"/>
      </w:pPr>
      <w:rPr>
        <w:rFonts w:hint="default" w:ascii="宋体" w:hAnsi="宋体"/>
      </w:rPr>
    </w:lvl>
    <w:lvl w:ilvl="1" w:tentative="0">
      <w:start w:val="1"/>
      <w:numFmt w:val="bullet"/>
      <w:lvlText w:val="●"/>
      <w:lvlJc w:val="left"/>
      <w:pPr>
        <w:tabs>
          <w:tab w:val="left" w:pos="1440"/>
        </w:tabs>
        <w:ind w:left="1440" w:hanging="360"/>
      </w:pPr>
      <w:rPr>
        <w:rFonts w:hint="default" w:ascii="宋体" w:hAnsi="宋体"/>
      </w:rPr>
    </w:lvl>
    <w:lvl w:ilvl="2" w:tentative="0">
      <w:start w:val="1"/>
      <w:numFmt w:val="bullet"/>
      <w:lvlText w:val="●"/>
      <w:lvlJc w:val="left"/>
      <w:pPr>
        <w:tabs>
          <w:tab w:val="left" w:pos="2160"/>
        </w:tabs>
        <w:ind w:left="2160" w:hanging="360"/>
      </w:pPr>
      <w:rPr>
        <w:rFonts w:hint="default" w:ascii="宋体" w:hAnsi="宋体"/>
      </w:rPr>
    </w:lvl>
    <w:lvl w:ilvl="3" w:tentative="0">
      <w:start w:val="1"/>
      <w:numFmt w:val="bullet"/>
      <w:lvlText w:val="●"/>
      <w:lvlJc w:val="left"/>
      <w:pPr>
        <w:tabs>
          <w:tab w:val="left" w:pos="2880"/>
        </w:tabs>
        <w:ind w:left="2880" w:hanging="360"/>
      </w:pPr>
      <w:rPr>
        <w:rFonts w:hint="default" w:ascii="宋体" w:hAnsi="宋体"/>
      </w:rPr>
    </w:lvl>
    <w:lvl w:ilvl="4" w:tentative="0">
      <w:start w:val="1"/>
      <w:numFmt w:val="bullet"/>
      <w:lvlText w:val="●"/>
      <w:lvlJc w:val="left"/>
      <w:pPr>
        <w:tabs>
          <w:tab w:val="left" w:pos="3600"/>
        </w:tabs>
        <w:ind w:left="3600" w:hanging="360"/>
      </w:pPr>
      <w:rPr>
        <w:rFonts w:hint="default" w:ascii="宋体" w:hAnsi="宋体"/>
      </w:rPr>
    </w:lvl>
    <w:lvl w:ilvl="5" w:tentative="0">
      <w:start w:val="1"/>
      <w:numFmt w:val="bullet"/>
      <w:lvlText w:val="●"/>
      <w:lvlJc w:val="left"/>
      <w:pPr>
        <w:tabs>
          <w:tab w:val="left" w:pos="4320"/>
        </w:tabs>
        <w:ind w:left="4320" w:hanging="360"/>
      </w:pPr>
      <w:rPr>
        <w:rFonts w:hint="default" w:ascii="宋体" w:hAnsi="宋体"/>
      </w:rPr>
    </w:lvl>
    <w:lvl w:ilvl="6" w:tentative="0">
      <w:start w:val="1"/>
      <w:numFmt w:val="bullet"/>
      <w:lvlText w:val="●"/>
      <w:lvlJc w:val="left"/>
      <w:pPr>
        <w:tabs>
          <w:tab w:val="left" w:pos="5040"/>
        </w:tabs>
        <w:ind w:left="5040" w:hanging="360"/>
      </w:pPr>
      <w:rPr>
        <w:rFonts w:hint="default" w:ascii="宋体" w:hAnsi="宋体"/>
      </w:rPr>
    </w:lvl>
    <w:lvl w:ilvl="7" w:tentative="0">
      <w:start w:val="1"/>
      <w:numFmt w:val="bullet"/>
      <w:lvlText w:val="●"/>
      <w:lvlJc w:val="left"/>
      <w:pPr>
        <w:tabs>
          <w:tab w:val="left" w:pos="5760"/>
        </w:tabs>
        <w:ind w:left="5760" w:hanging="360"/>
      </w:pPr>
      <w:rPr>
        <w:rFonts w:hint="default" w:ascii="宋体" w:hAnsi="宋体"/>
      </w:rPr>
    </w:lvl>
    <w:lvl w:ilvl="8" w:tentative="0">
      <w:start w:val="1"/>
      <w:numFmt w:val="bullet"/>
      <w:lvlText w:val="●"/>
      <w:lvlJc w:val="left"/>
      <w:pPr>
        <w:tabs>
          <w:tab w:val="left" w:pos="6480"/>
        </w:tabs>
        <w:ind w:left="6480" w:hanging="360"/>
      </w:pPr>
      <w:rPr>
        <w:rFonts w:hint="default" w:ascii="宋体" w:hAnsi="宋体"/>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rsids>
    <w:rsidRoot w:val="00583AA8"/>
    <w:rsid w:val="00011ECD"/>
    <w:rsid w:val="00025016"/>
    <w:rsid w:val="000A411B"/>
    <w:rsid w:val="001067F2"/>
    <w:rsid w:val="00157D12"/>
    <w:rsid w:val="001B77BD"/>
    <w:rsid w:val="001D6C47"/>
    <w:rsid w:val="00212E88"/>
    <w:rsid w:val="00214E08"/>
    <w:rsid w:val="0021568A"/>
    <w:rsid w:val="00225C9D"/>
    <w:rsid w:val="002567DB"/>
    <w:rsid w:val="002720B8"/>
    <w:rsid w:val="002B1F15"/>
    <w:rsid w:val="002C1E77"/>
    <w:rsid w:val="002E17AB"/>
    <w:rsid w:val="00310AA2"/>
    <w:rsid w:val="003233A6"/>
    <w:rsid w:val="00325469"/>
    <w:rsid w:val="00340EC3"/>
    <w:rsid w:val="003440DC"/>
    <w:rsid w:val="0034425F"/>
    <w:rsid w:val="003821F2"/>
    <w:rsid w:val="003D3FEC"/>
    <w:rsid w:val="00431566"/>
    <w:rsid w:val="004A27B9"/>
    <w:rsid w:val="004B474C"/>
    <w:rsid w:val="00504CAF"/>
    <w:rsid w:val="005051E9"/>
    <w:rsid w:val="00512711"/>
    <w:rsid w:val="00526EF7"/>
    <w:rsid w:val="00535594"/>
    <w:rsid w:val="0057787B"/>
    <w:rsid w:val="00583AA8"/>
    <w:rsid w:val="005927C8"/>
    <w:rsid w:val="00593308"/>
    <w:rsid w:val="005E39C1"/>
    <w:rsid w:val="00622EDE"/>
    <w:rsid w:val="006453AF"/>
    <w:rsid w:val="00686385"/>
    <w:rsid w:val="006A1EE4"/>
    <w:rsid w:val="006A69AB"/>
    <w:rsid w:val="006B0397"/>
    <w:rsid w:val="006C0C23"/>
    <w:rsid w:val="006C6E29"/>
    <w:rsid w:val="006E01B5"/>
    <w:rsid w:val="006E292D"/>
    <w:rsid w:val="006E2B77"/>
    <w:rsid w:val="00781586"/>
    <w:rsid w:val="00782E6B"/>
    <w:rsid w:val="007924E2"/>
    <w:rsid w:val="007F025C"/>
    <w:rsid w:val="0082771C"/>
    <w:rsid w:val="00882B79"/>
    <w:rsid w:val="00891AAD"/>
    <w:rsid w:val="008D77E8"/>
    <w:rsid w:val="00901E55"/>
    <w:rsid w:val="00905E4A"/>
    <w:rsid w:val="00954D4F"/>
    <w:rsid w:val="00965032"/>
    <w:rsid w:val="00967261"/>
    <w:rsid w:val="00976E96"/>
    <w:rsid w:val="0099594E"/>
    <w:rsid w:val="009A18AD"/>
    <w:rsid w:val="00A765D5"/>
    <w:rsid w:val="00AC5881"/>
    <w:rsid w:val="00AD0A47"/>
    <w:rsid w:val="00B14DB9"/>
    <w:rsid w:val="00B25DF9"/>
    <w:rsid w:val="00B57D54"/>
    <w:rsid w:val="00C07EF6"/>
    <w:rsid w:val="00C17492"/>
    <w:rsid w:val="00C24175"/>
    <w:rsid w:val="00C72550"/>
    <w:rsid w:val="00C85758"/>
    <w:rsid w:val="00CA1623"/>
    <w:rsid w:val="00CA2A6F"/>
    <w:rsid w:val="00CA2F5C"/>
    <w:rsid w:val="00CC564E"/>
    <w:rsid w:val="00CC5B45"/>
    <w:rsid w:val="00CD403D"/>
    <w:rsid w:val="00CD55B2"/>
    <w:rsid w:val="00D238A6"/>
    <w:rsid w:val="00D33544"/>
    <w:rsid w:val="00D405B6"/>
    <w:rsid w:val="00DB79D9"/>
    <w:rsid w:val="00E2638F"/>
    <w:rsid w:val="00EC03F8"/>
    <w:rsid w:val="00EC09A6"/>
    <w:rsid w:val="00EC6942"/>
    <w:rsid w:val="00F20EAB"/>
    <w:rsid w:val="00F25452"/>
    <w:rsid w:val="00F71B05"/>
    <w:rsid w:val="6E9170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Segoe UI Light" w:hAnsi="Segoe UI Light" w:eastAsia="Segoe UI Light" w:cs="Segoe UI Light"/>
      <w:sz w:val="22"/>
      <w:szCs w:val="22"/>
      <w:lang w:val="en-US" w:eastAsia="en-US"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pPr>
      <w:spacing w:before="245"/>
      <w:ind w:left="88"/>
      <w:jc w:val="both"/>
    </w:pPr>
  </w:style>
  <w:style w:type="paragraph" w:styleId="3">
    <w:name w:val="footer"/>
    <w:basedOn w:val="1"/>
    <w:link w:val="14"/>
    <w:unhideWhenUsed/>
    <w:uiPriority w:val="99"/>
    <w:pPr>
      <w:tabs>
        <w:tab w:val="center" w:pos="4153"/>
        <w:tab w:val="right" w:pos="8306"/>
      </w:tabs>
      <w:snapToGrid w:val="0"/>
    </w:pPr>
    <w:rPr>
      <w:sz w:val="18"/>
      <w:szCs w:val="18"/>
    </w:rPr>
  </w:style>
  <w:style w:type="paragraph" w:styleId="4">
    <w:name w:val="header"/>
    <w:basedOn w:val="1"/>
    <w:link w:val="13"/>
    <w:unhideWhenUsed/>
    <w:uiPriority w:val="99"/>
    <w:pPr>
      <w:tabs>
        <w:tab w:val="center" w:pos="4153"/>
        <w:tab w:val="right" w:pos="8306"/>
      </w:tabs>
      <w:snapToGrid w:val="0"/>
      <w:jc w:val="center"/>
    </w:pPr>
    <w:rPr>
      <w:sz w:val="18"/>
      <w:szCs w:val="18"/>
    </w:rPr>
  </w:style>
  <w:style w:type="paragraph" w:styleId="5">
    <w:name w:val="Title"/>
    <w:basedOn w:val="1"/>
    <w:qFormat/>
    <w:uiPriority w:val="10"/>
    <w:pPr>
      <w:spacing w:before="21"/>
      <w:ind w:left="20"/>
    </w:pPr>
    <w:rPr>
      <w:sz w:val="28"/>
      <w:szCs w:val="28"/>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nhideWhenUsed/>
    <w:uiPriority w:val="99"/>
    <w:rPr>
      <w:color w:val="0000FF" w:themeColor="hyperlink"/>
      <w:u w:val="single"/>
      <w14:textFill>
        <w14:solidFill>
          <w14:schemeClr w14:val="hlink"/>
        </w14:solidFill>
      </w14:textFill>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style>
  <w:style w:type="paragraph" w:customStyle="1" w:styleId="12">
    <w:name w:val="Table Paragraph"/>
    <w:basedOn w:val="1"/>
    <w:qFormat/>
    <w:uiPriority w:val="1"/>
  </w:style>
  <w:style w:type="character" w:customStyle="1" w:styleId="13">
    <w:name w:val="页眉 字符"/>
    <w:basedOn w:val="8"/>
    <w:link w:val="4"/>
    <w:uiPriority w:val="99"/>
    <w:rPr>
      <w:rFonts w:ascii="Segoe UI Light" w:hAnsi="Segoe UI Light" w:eastAsia="Segoe UI Light" w:cs="Segoe UI Light"/>
      <w:sz w:val="18"/>
      <w:szCs w:val="18"/>
    </w:rPr>
  </w:style>
  <w:style w:type="character" w:customStyle="1" w:styleId="14">
    <w:name w:val="页脚 字符"/>
    <w:basedOn w:val="8"/>
    <w:link w:val="3"/>
    <w:uiPriority w:val="99"/>
    <w:rPr>
      <w:rFonts w:ascii="Segoe UI Light" w:hAnsi="Segoe UI Light" w:eastAsia="Segoe UI Light" w:cs="Segoe UI Light"/>
      <w:sz w:val="18"/>
      <w:szCs w:val="18"/>
    </w:rPr>
  </w:style>
  <w:style w:type="character" w:customStyle="1" w:styleId="15">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1639</Words>
  <Characters>2571</Characters>
  <Lines>145</Lines>
  <Paragraphs>98</Paragraphs>
  <TotalTime>1</TotalTime>
  <ScaleCrop>false</ScaleCrop>
  <LinksUpToDate>false</LinksUpToDate>
  <CharactersWithSpaces>2649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2026-05-14T03:34:00Z</dcterms:created>
  <dc:creator>Francis</dc:creator>
  <cp:lastModifiedBy>Administrator</cp:lastModifiedBy>
  <cp:lastPrinted>2025-08-28T07:54:00Z</cp:lastPrinted>
  <dcterms:modified xsi:type="dcterms:W3CDTF">2026-08-26T07:13:31Z</dcterms:modified>
  <dc:subject>WWW.IEXS.COM</dc:subject>
  <dc:title>RISK DISCLOSURE V1.3</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2023-09-27T00:00:00Z</vt:filetime>
  </property>
  <property fmtid="{D5CDD505-2E9C-101B-9397-08002B2CF9AE}" pid="3" name="Creator">
    <vt:lpwstr>Microsoft® Word 适用于 Microsoft 365</vt:lpwstr>
  </property>
  <property fmtid="{D5CDD505-2E9C-101B-9397-08002B2CF9AE}" pid="4" name="LastSaved">
    <vt:filetime>2025-04-02T00:00:00Z</vt:filetime>
  </property>
  <property fmtid="{D5CDD505-2E9C-101B-9397-08002B2CF9AE}" pid="5" name="Producer">
    <vt:lpwstr>Microsoft® Word 适用于 Microsoft 365</vt:lpwstr>
  </property>
  <property fmtid="{D5CDD505-2E9C-101B-9397-08002B2CF9AE}" pid="6" name="KSOTemplateDocerSaveRecord">
    <vt:lpwstr>eyJoZGlkIjoiMTRlYjRiYjA2NmMxNTBlZTg0MDc4ZjFmNGE3OWFlYTQifQ==</vt:lpwstr>
  </property>
  <property fmtid="{D5CDD505-2E9C-101B-9397-08002B2CF9AE}" pid="7" name="KSOProductBuildVer">
    <vt:lpwstr>2052-12.1.0.28043</vt:lpwstr>
  </property>
  <property fmtid="{D5CDD505-2E9C-101B-9397-08002B2CF9AE}" pid="8" name="ICV">
    <vt:lpwstr>F2D10CC3EC1E47DB9C994F8CC1CA46AB_12</vt:lpwstr>
  </property>
</Properties>
</file>