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ChainGuard selection video</w:t>
      </w:r>
    </w:p>
    <w:p>
      <w:pPr>
        <w:pStyle w:val="Normal"/>
      </w:pPr>
      <w:r>
        <w:t xml:space="preserve">Target length: about 3 minutes, including brief pauses and clicks.  </w:t>
      </w:r>
    </w:p>
    <w:p>
      <w:pPr>
        <w:pStyle w:val="Normal"/>
      </w:pPr>
      <w:r>
        <w:t xml:space="preserve">Presentation style: one presenter, screen recording, calm delivery.  </w:t>
      </w:r>
    </w:p>
    <w:p>
      <w:pPr>
        <w:pStyle w:val="Normal"/>
      </w:pPr>
      <w:r>
        <w:t xml:space="preserve">Opening: start on the Control room with all counters at zero.</w:t>
      </w:r>
    </w:p>
    <w:p>
      <w:pPr>
        <w:pStyle w:val="Normal"/>
      </w:pPr>
      <w:r>
        <w:t xml:space="preserve">This script describes the implemented demo. Replace [team name] with your team name. Rehearse once; timing depends on speaking pace.</w:t>
      </w:r>
    </w:p>
    <w:p>
      <w:pPr>
        <w:pStyle w:val="Heading1"/>
      </w:pPr>
      <w:r>
        <w:t xml:space="preserve">0:00–0:25 — The problem</w:t>
      </w:r>
    </w:p>
    <w:p>
      <w:pPr>
        <w:pStyle w:val="Normal"/>
      </w:pPr>
      <w:r>
        <w:t xml:space="preserve">On screen: Control room; show the four scenario cards.</w:t>
      </w:r>
    </w:p>
    <w:p>
      <w:pPr>
        <w:pStyle w:val="Normal"/>
      </w:pPr>
      <w:r>
        <w:t xml:space="preserve">Say:</w:t>
      </w:r>
    </w:p>
    <w:p>
      <w:pPr>
        <w:pStyle w:val="Normal"/>
      </w:pPr>
      <w:r>
        <w:t xml:space="preserve">“Hello, we’re [team name], and this is ChainGuard for PS 2.1: AI Agent Safety and Control.</w:t>
      </w:r>
    </w:p>
    <w:p>
      <w:pPr>
        <w:pStyle w:val="Normal"/>
      </w:pPr>
      <w:r>
        <w:t xml:space="preserve">An AI agent may have permission to request a payment, but permission alone does not tell us whether the purchase order, goods receipt, invoice and supplier details agree.</w:t>
      </w:r>
    </w:p>
    <w:p>
      <w:pPr>
        <w:pStyle w:val="Normal"/>
      </w:pPr>
      <w:r>
        <w:t xml:space="preserve">ChainGuard checks that complete transaction before the protected action executes.”</w:t>
      </w:r>
    </w:p>
    <w:p>
      <w:pPr>
        <w:pStyle w:val="Heading1"/>
      </w:pPr>
      <w:r>
        <w:t xml:space="preserve">0:25–0:42 — What is actually built</w:t>
      </w:r>
    </w:p>
    <w:p>
      <w:pPr>
        <w:pStyle w:val="Normal"/>
      </w:pPr>
      <w:r>
        <w:t xml:space="preserve">On screen: Point at the workflow from Invoice agent to Payment tool.</w:t>
      </w:r>
    </w:p>
    <w:p>
      <w:pPr>
        <w:pStyle w:val="Normal"/>
      </w:pPr>
      <w:r>
        <w:t xml:space="preserve">Say:</w:t>
      </w:r>
    </w:p>
    <w:p>
      <w:pPr>
        <w:pStyle w:val="Normal"/>
      </w:pPr>
      <w:r>
        <w:t xml:space="preserve">“This is our working local MVP. The agent roles and enterprise systems are simulated, but the backend policy checks, approval flow, ledger and audit trail are implemented.</w:t>
      </w:r>
    </w:p>
    <w:p>
      <w:pPr>
        <w:pStyle w:val="Normal"/>
      </w:pPr>
      <w:r>
        <w:t xml:space="preserve">The agent proposes an action. Deterministic policy decides whether it can proceed.”</w:t>
      </w:r>
    </w:p>
    <w:p>
      <w:pPr>
        <w:pStyle w:val="Heading1"/>
      </w:pPr>
      <w:r>
        <w:t xml:space="preserve">0:42–1:00 — Legitimate automation</w:t>
      </w:r>
    </w:p>
    <w:p>
      <w:pPr>
        <w:pStyle w:val="Normal"/>
      </w:pPr>
      <w:r>
        <w:t xml:space="preserve">Clicks: Select Valid transaction → Run scenario. Scroll slightly to show the evidence, gate decision and tool counter.</w:t>
      </w:r>
    </w:p>
    <w:p>
      <w:pPr>
        <w:pStyle w:val="Normal"/>
      </w:pPr>
      <w:r>
        <w:t xml:space="preserve">Say:</w:t>
      </w:r>
    </w:p>
    <w:p>
      <w:pPr>
        <w:pStyle w:val="Normal"/>
      </w:pPr>
      <w:r>
        <w:t xml:space="preserve">“First, a legitimate forty-eight-thousand-rupee request. The order, receipt and invoice match, and the supplier is verified.</w:t>
      </w:r>
    </w:p>
    <w:p>
      <w:pPr>
        <w:pStyle w:val="Normal"/>
      </w:pPr>
      <w:r>
        <w:t xml:space="preserve">ChainGuard allows the request, invokes the mock tool once, and reads the result back from the ledger. No real money moves.”</w:t>
      </w:r>
    </w:p>
    <w:p>
      <w:pPr>
        <w:pStyle w:val="Normal"/>
      </w:pPr>
      <w:r>
        <w:t xml:space="preserve">Visible evidence: “Allowed · request verified”; protected-tool invocations = 1.</w:t>
      </w:r>
    </w:p>
    <w:p>
      <w:pPr>
        <w:pStyle w:val="Heading1"/>
      </w:pPr>
      <w:r>
        <w:t xml:space="preserve">1:00–1:25 — A cross-system violation</w:t>
      </w:r>
    </w:p>
    <w:p>
      <w:pPr>
        <w:pStyle w:val="Normal"/>
      </w:pPr>
      <w:r>
        <w:t xml:space="preserve">Clicks: Select Unverified bank → Run scenario. Show supplier bank status and gate decision.</w:t>
      </w:r>
    </w:p>
    <w:p>
      <w:pPr>
        <w:pStyle w:val="Normal"/>
      </w:pPr>
      <w:r>
        <w:t xml:space="preserve">Say:</w:t>
      </w:r>
    </w:p>
    <w:p>
      <w:pPr>
        <w:pStyle w:val="Normal"/>
      </w:pPr>
      <w:r>
        <w:t xml:space="preserve">“Now the payment agent still has permission, and the invoice still matches. But the supplier’s bank-account change is pending verification.</w:t>
      </w:r>
    </w:p>
    <w:p>
      <w:pPr>
        <w:pStyle w:val="Normal"/>
      </w:pPr>
      <w:r>
        <w:t xml:space="preserve">Our permission-only baseline would allow this call. ChainGuard checks the supplier record and blocks it before execution.</w:t>
      </w:r>
    </w:p>
    <w:p>
      <w:pPr>
        <w:pStyle w:val="Normal"/>
      </w:pPr>
      <w:r>
        <w:t xml:space="preserve">The protected-tool count is zero. This demonstrates our transaction-context check against that simple baseline.”</w:t>
      </w:r>
    </w:p>
    <w:p>
      <w:pPr>
        <w:pStyle w:val="Normal"/>
      </w:pPr>
      <w:r>
        <w:t xml:space="preserve">Visible evidence: bank status PENDING; “Blocked before execution”; invocations = 0.</w:t>
      </w:r>
    </w:p>
    <w:p>
      <w:pPr>
        <w:pStyle w:val="Heading1"/>
      </w:pPr>
      <w:r>
        <w:t xml:space="preserve">1:25–1:55 — Human oversight</w:t>
      </w:r>
    </w:p>
    <w:p>
      <w:pPr>
        <w:pStyle w:val="Normal"/>
      </w:pPr>
      <w:r>
        <w:t xml:space="preserve">Clicks: Select Human approval → Run scenario. Show zero invocations. Click Switch to finance reviewer → Approve as finance reviewer → Execute with recheck.</w:t>
      </w:r>
    </w:p>
    <w:p>
      <w:pPr>
        <w:pStyle w:val="Normal"/>
      </w:pPr>
      <w:r>
        <w:t xml:space="preserve">Say:</w:t>
      </w:r>
    </w:p>
    <w:p>
      <w:pPr>
        <w:pStyle w:val="Normal"/>
      </w:pPr>
      <w:r>
        <w:t xml:space="preserve">“This seven-lakh-fifty-thousand-rupee request exceeds our review threshold, so it stays on hold.</w:t>
      </w:r>
    </w:p>
    <w:p>
      <w:pPr>
        <w:pStyle w:val="Normal"/>
      </w:pPr>
      <w:r>
        <w:t xml:space="preserve">I’ll switch to the separate demo finance reviewer and approve it. The approval is tied to this exact action and its source records.</w:t>
      </w:r>
    </w:p>
    <w:p>
      <w:pPr>
        <w:pStyle w:val="Normal"/>
      </w:pPr>
      <w:r>
        <w:t xml:space="preserve">Execution rechecks the policy before creating the request. These selectable identities demonstrate role enforcement; they are not production authentication.”</w:t>
      </w:r>
    </w:p>
    <w:p>
      <w:pPr>
        <w:pStyle w:val="Normal"/>
      </w:pPr>
      <w:r>
        <w:t xml:space="preserve">Visible evidence: held at 0, approved but still 0, then verified at 1.</w:t>
      </w:r>
    </w:p>
    <w:p>
      <w:pPr>
        <w:pStyle w:val="Heading1"/>
      </w:pPr>
      <w:r>
        <w:t xml:space="preserve">1:55–2:20 — Untrusted invoice instructions</w:t>
      </w:r>
    </w:p>
    <w:p>
      <w:pPr>
        <w:pStyle w:val="Normal"/>
      </w:pPr>
      <w:r>
        <w:t xml:space="preserve">Clicks: Select Prompt injection → Run scenario. Scroll to show the expanded invoice text alongside the decision.</w:t>
      </w:r>
    </w:p>
    <w:p>
      <w:pPr>
        <w:pStyle w:val="Normal"/>
      </w:pPr>
      <w:r>
        <w:t xml:space="preserve">Say:</w:t>
      </w:r>
    </w:p>
    <w:p>
      <w:pPr>
        <w:pStyle w:val="Normal"/>
      </w:pPr>
      <w:r>
        <w:t xml:space="preserve">“This invoice tells the agent to ignore policy and skip verification.</w:t>
      </w:r>
    </w:p>
    <w:p>
      <w:pPr>
        <w:pStyle w:val="Normal"/>
      </w:pPr>
      <w:r>
        <w:t xml:space="preserve">Those instructions are untrusted document content. They cannot change the authoritative supplier status or grant approval.</w:t>
      </w:r>
    </w:p>
    <w:p>
      <w:pPr>
        <w:pStyle w:val="Normal"/>
      </w:pPr>
      <w:r>
        <w:t xml:space="preserve">The bank remains unverified, so the gate blocks the request with zero tool invocations. This demonstrates isolation for this fixture, not a claim that all prompt injection is solved.”</w:t>
      </w:r>
    </w:p>
    <w:p>
      <w:pPr>
        <w:pStyle w:val="Heading1"/>
      </w:pPr>
      <w:r>
        <w:t xml:space="preserve">2:20–2:40 — Evidence and validation</w:t>
      </w:r>
    </w:p>
    <w:p>
      <w:pPr>
        <w:pStyle w:val="Normal"/>
      </w:pPr>
      <w:r>
        <w:t xml:space="preserve">Clicks: Click Audit trail. Expand one POLICY event; optionally click Export evidence.</w:t>
      </w:r>
    </w:p>
    <w:p>
      <w:pPr>
        <w:pStyle w:val="Normal"/>
      </w:pPr>
      <w:r>
        <w:t xml:space="preserve">Say:</w:t>
      </w:r>
    </w:p>
    <w:p>
      <w:pPr>
        <w:pStyle w:val="Normal"/>
      </w:pPr>
      <w:r>
        <w:t xml:space="preserve">“The audit trail links the transaction, requester, source evidence, policy version, approval and verified outcome.</w:t>
      </w:r>
    </w:p>
    <w:p>
      <w:pPr>
        <w:pStyle w:val="Normal"/>
      </w:pPr>
      <w:r>
        <w:t xml:space="preserve">Our twenty-three automated tests pass, including changed approvals, duplicate retries, missing evidence and unauthorized approval attempts.”</w:t>
      </w:r>
    </w:p>
    <w:p>
      <w:pPr>
        <w:pStyle w:val="Normal"/>
      </w:pPr>
      <w:r>
        <w:t xml:space="preserve">Visible evidence: expandable event JSON, transaction and trace IDs, record snapshots and policy decision. Only state the test result after running npm test successfully on the final source.</w:t>
      </w:r>
    </w:p>
    <w:p>
      <w:pPr>
        <w:pStyle w:val="Heading1"/>
      </w:pPr>
      <w:r>
        <w:t xml:space="preserve">2:40–3:00 — Why it matters</w:t>
      </w:r>
    </w:p>
    <w:p>
      <w:pPr>
        <w:pStyle w:val="Normal"/>
      </w:pPr>
      <w:r>
        <w:t xml:space="preserve">Clicks: Return to Control room; leave the counters visible.</w:t>
      </w:r>
    </w:p>
    <w:p>
      <w:pPr>
        <w:pStyle w:val="Normal"/>
      </w:pPr>
      <w:r>
        <w:t xml:space="preserve">Say:</w:t>
      </w:r>
    </w:p>
    <w:p>
      <w:pPr>
        <w:pStyle w:val="Normal"/>
      </w:pPr>
      <w:r>
        <w:t xml:space="preserve">“Our focus is transaction integrity across a business workflow. We are not claiming that existing enterprise controls cannot do this.</w:t>
      </w:r>
    </w:p>
    <w:p>
      <w:pPr>
        <w:pStyle w:val="Normal"/>
      </w:pPr>
      <w:r>
        <w:t xml:space="preserve">The next step is to connect a real agent and procurement sandbox, then evaluate more workflows.</w:t>
      </w:r>
    </w:p>
    <w:p>
      <w:pPr>
        <w:pStyle w:val="Normal"/>
      </w:pPr>
      <w:r>
        <w:t xml:space="preserve">ChainGuard’s goal is practical: keep useful automation moving, pause uncertain actions, and make every decision explainable. Thank you.”</w:t>
      </w:r>
    </w:p>
    <w:p>
      <w:pPr>
        <w:pStyle w:val="Heading1"/>
      </w:pPr>
      <w:r>
        <w:t xml:space="preserve">Optional 35-second extension — Stale approval</w:t>
      </w:r>
    </w:p>
    <w:p>
      <w:pPr>
        <w:pStyle w:val="Normal"/>
      </w:pPr>
      <w:r>
        <w:t xml:space="preserve">Use this only if the video can exceed three minutes, or replace part of the standard approval segment.</w:t>
      </w:r>
    </w:p>
    <w:p>
      <w:pPr>
        <w:pStyle w:val="Normal"/>
      </w:pPr>
      <w:r>
        <w:t xml:space="preserve">Clicks:</w:t>
      </w:r>
    </w:p>
    <w:p>
      <w:pPr>
        <w:pStyle w:val="Normal"/>
      </w:pPr>
      <w:r>
        <w:t xml:space="preserve">1. In Explore edge cases, choose Stale approval.</w:t>
      </w:r>
    </w:p>
    <w:p>
      <w:pPr>
        <w:pStyle w:val="Normal"/>
      </w:pPr>
      <w:r>
        <w:t xml:space="preserve">2. Run scenario → Switch to finance reviewer → Approve as finance reviewer.</w:t>
      </w:r>
    </w:p>
    <w:p>
      <w:pPr>
        <w:pStyle w:val="Normal"/>
      </w:pPr>
      <w:r>
        <w:t xml:space="preserve">3. Click Change beneficiary.</w:t>
      </w:r>
    </w:p>
    <w:p>
      <w:pPr>
        <w:pStyle w:val="Normal"/>
      </w:pPr>
      <w:r>
        <w:t xml:space="preserve">4. Click Execute with recheck.</w:t>
      </w:r>
    </w:p>
    <w:p>
      <w:pPr>
        <w:pStyle w:val="Normal"/>
      </w:pPr>
      <w:r>
        <w:t xml:space="preserve">5. Show approval stale and zero tool invocations.</w:t>
      </w:r>
    </w:p>
    <w:p>
      <w:pPr>
        <w:pStyle w:val="Normal"/>
      </w:pPr>
      <w:r>
        <w:t xml:space="preserve">6. Optionally approve again, then execute to show recovery.</w:t>
      </w:r>
    </w:p>
    <w:p>
      <w:pPr>
        <w:pStyle w:val="Normal"/>
      </w:pPr>
      <w:r>
        <w:t xml:space="preserve">Say:</w:t>
      </w:r>
    </w:p>
    <w:p>
      <w:pPr>
        <w:pStyle w:val="Normal"/>
      </w:pPr>
      <w:r>
        <w:t xml:space="preserve">“Approval is not a permanent green light. Here finance approved one beneficiary, but the source record changes before execution.</w:t>
      </w:r>
    </w:p>
    <w:p>
      <w:pPr>
        <w:pStyle w:val="Normal"/>
      </w:pPr>
      <w:r>
        <w:t xml:space="preserve">When we try to execute, the old approval no longer matches. ChainGuard pauses the request and requires a fresh approval. The tool has still never been invoked.</w:t>
      </w:r>
    </w:p>
    <w:p>
      <w:pPr>
        <w:pStyle w:val="Normal"/>
      </w:pPr>
      <w:r>
        <w:t xml:space="preserve">This is the difference between storing an approved flag and verifying what was actually approved.”</w:t>
      </w:r>
    </w:p>
    <w:p>
      <w:pPr>
        <w:pStyle w:val="Heading1"/>
      </w:pPr>
      <w:r>
        <w:t xml:space="preserve">Recording checklist</w:t>
      </w:r>
    </w:p>
    <w:p>
      <w:pPr>
        <w:pStyle w:val="Normal"/>
      </w:pPr>
      <w:r>
        <w:t xml:space="preserve">• Run npm test and npm run check before recording.</w:t>
      </w:r>
    </w:p>
    <w:p>
      <w:pPr>
        <w:pStyle w:val="Normal"/>
      </w:pPr>
      <w:r>
        <w:t xml:space="preserve">• Use a desktop browser, around 1440×1000 or 1920×1080; 90–100% zoom.</w:t>
      </w:r>
    </w:p>
    <w:p>
      <w:pPr>
        <w:pStyle w:val="Normal"/>
      </w:pPr>
      <w:r>
        <w:t xml:space="preserve">• Reset the demo immediately before recording.</w:t>
      </w:r>
    </w:p>
    <w:p>
      <w:pPr>
        <w:pStyle w:val="Normal"/>
      </w:pPr>
      <w:r>
        <w:t xml:space="preserve">• Keep the microphone close and disable desktop notifications.</w:t>
      </w:r>
    </w:p>
    <w:p>
      <w:pPr>
        <w:pStyle w:val="Normal"/>
      </w:pPr>
      <w:r>
        <w:t xml:space="preserve">• Move the pointer slowly. Pause on the zero-invocation counter after each block.</w:t>
      </w:r>
    </w:p>
    <w:p>
      <w:pPr>
        <w:pStyle w:val="Normal"/>
      </w:pPr>
      <w:r>
        <w:t xml:space="preserve">• Scroll down enough to show the evidence and decision; return to the scenario cards between cases.</w:t>
      </w:r>
    </w:p>
    <w:p>
      <w:pPr>
        <w:pStyle w:val="Normal"/>
      </w:pPr>
      <w:r>
        <w:t xml:space="preserve">• Complete approvals within five minutes; otherwise fresh approval is intentionally required.</w:t>
      </w:r>
    </w:p>
    <w:p>
      <w:pPr>
        <w:pStyle w:val="Normal"/>
      </w:pPr>
      <w:r>
        <w:t xml:space="preserve">• Do not say “payment completed.” Say “mock payment request created and verified.”</w:t>
      </w:r>
    </w:p>
    <w:p>
      <w:pPr>
        <w:pStyle w:val="Normal"/>
      </w:pPr>
      <w:r>
        <w:t xml:space="preserve">• Do not claim real LLM integration, general attack detection, commercial uniqueness or tamper-proof logs.</w:t>
      </w:r>
    </w:p>
    <w:p>
      <w:pPr>
        <w:pStyle w:val="Normal"/>
      </w:pPr>
      <w:r>
        <w:t xml:space="preserve">• Record the screen and voice; this deliverable supplies the app and script, not a finished narrated video.</w:t>
      </w:r>
    </w:p>
    <w:p>
      <w:pPr>
        <w:pStyle w:val="Normal"/>
      </w:pPr>
      <w:r>
        <w:t xml:space="preserve">• Upload the recording and repository yourself, then verify the required sharing permissions.</w:t>
      </w:r>
    </w:p>
    <w:p>
      <w:r>
        <w:br w:type="page"/>
      </w:r>
    </w:p>
    <w:p>
      <w:pPr>
        <w:pStyle w:val="Title"/>
      </w:pPr>
      <w:r>
        <w:t xml:space="preserve">ChainGuard — speech only</w:t>
      </w:r>
    </w:p>
    <w:p>
      <w:pPr>
        <w:pStyle w:val="Normal"/>
      </w:pPr>
      <w:r>
        <w:t xml:space="preserve">Hello, we’re [team name], and this is ChainGuard for PS 2.1: AI Agent Safety and Control.</w:t>
      </w:r>
    </w:p>
    <w:p>
      <w:pPr>
        <w:pStyle w:val="Normal"/>
      </w:pPr>
      <w:r>
        <w:t xml:space="preserve">An AI agent may have permission to request a payment, but permission alone does not tell us whether the purchase order, goods receipt, invoice and supplier details agree.</w:t>
      </w:r>
    </w:p>
    <w:p>
      <w:pPr>
        <w:pStyle w:val="Normal"/>
      </w:pPr>
      <w:r>
        <w:t xml:space="preserve">ChainGuard checks that complete transaction before the protected action executes.</w:t>
      </w:r>
    </w:p>
    <w:p>
      <w:pPr>
        <w:pStyle w:val="Normal"/>
      </w:pPr>
      <w:r>
        <w:t xml:space="preserve">This is our working local MVP. The agent roles and enterprise systems are simulated, but the backend policy checks, approval flow, ledger and audit trail are implemented.</w:t>
      </w:r>
    </w:p>
    <w:p>
      <w:pPr>
        <w:pStyle w:val="Normal"/>
      </w:pPr>
      <w:r>
        <w:t xml:space="preserve">The agent proposes an action. Deterministic policy decides whether it can proceed.</w:t>
      </w:r>
    </w:p>
    <w:p>
      <w:pPr>
        <w:pStyle w:val="Normal"/>
      </w:pPr>
      <w:r>
        <w:t xml:space="preserve">First, a legitimate forty-eight-thousand-rupee request. The order, receipt and invoice match, and the supplier is verified.</w:t>
      </w:r>
    </w:p>
    <w:p>
      <w:pPr>
        <w:pStyle w:val="Normal"/>
      </w:pPr>
      <w:r>
        <w:t xml:space="preserve">ChainGuard allows the request, invokes the mock tool once, and reads the result back from the ledger. No real money moves.</w:t>
      </w:r>
    </w:p>
    <w:p>
      <w:pPr>
        <w:pStyle w:val="Normal"/>
      </w:pPr>
      <w:r>
        <w:t xml:space="preserve">Now the payment agent still has permission, and the invoice still matches. But the supplier’s bank-account change is pending verification.</w:t>
      </w:r>
    </w:p>
    <w:p>
      <w:pPr>
        <w:pStyle w:val="Normal"/>
      </w:pPr>
      <w:r>
        <w:t xml:space="preserve">Our permission-only baseline would allow this call. ChainGuard checks the supplier record and blocks it before execution.</w:t>
      </w:r>
    </w:p>
    <w:p>
      <w:pPr>
        <w:pStyle w:val="Normal"/>
      </w:pPr>
      <w:r>
        <w:t xml:space="preserve">The protected-tool count is zero. This demonstrates our transaction-context check against that simple baseline.</w:t>
      </w:r>
    </w:p>
    <w:p>
      <w:pPr>
        <w:pStyle w:val="Normal"/>
      </w:pPr>
      <w:r>
        <w:t xml:space="preserve">This seven-lakh-fifty-thousand-rupee request exceeds our review threshold, so it stays on hold.</w:t>
      </w:r>
    </w:p>
    <w:p>
      <w:pPr>
        <w:pStyle w:val="Normal"/>
      </w:pPr>
      <w:r>
        <w:t xml:space="preserve">I’ll switch to the separate demo finance reviewer and approve it. The approval is tied to this exact action and its source records.</w:t>
      </w:r>
    </w:p>
    <w:p>
      <w:pPr>
        <w:pStyle w:val="Normal"/>
      </w:pPr>
      <w:r>
        <w:t xml:space="preserve">Execution rechecks the policy before creating the request. These selectable identities demonstrate role enforcement; they are not production authentication.</w:t>
      </w:r>
    </w:p>
    <w:p>
      <w:pPr>
        <w:pStyle w:val="Normal"/>
      </w:pPr>
      <w:r>
        <w:t xml:space="preserve">This invoice tells the agent to ignore policy and skip verification.</w:t>
      </w:r>
    </w:p>
    <w:p>
      <w:pPr>
        <w:pStyle w:val="Normal"/>
      </w:pPr>
      <w:r>
        <w:t xml:space="preserve">Those instructions are untrusted document content. They cannot change the authoritative supplier status or grant approval.</w:t>
      </w:r>
    </w:p>
    <w:p>
      <w:pPr>
        <w:pStyle w:val="Normal"/>
      </w:pPr>
      <w:r>
        <w:t xml:space="preserve">The bank remains unverified, so the gate blocks the request with zero tool invocations. This demonstrates isolation for this fixture, not a claim that all prompt injection is solved.</w:t>
      </w:r>
    </w:p>
    <w:p>
      <w:pPr>
        <w:pStyle w:val="Normal"/>
      </w:pPr>
      <w:r>
        <w:t xml:space="preserve">The audit trail links the transaction, requester, source evidence, policy version, approval and verified outcome.</w:t>
      </w:r>
    </w:p>
    <w:p>
      <w:pPr>
        <w:pStyle w:val="Normal"/>
      </w:pPr>
      <w:r>
        <w:t xml:space="preserve">Our twenty-three automated tests pass, including changed approvals, duplicate retries, missing evidence and unauthorized approval attempts.</w:t>
      </w:r>
    </w:p>
    <w:p>
      <w:pPr>
        <w:pStyle w:val="Normal"/>
      </w:pPr>
      <w:r>
        <w:t xml:space="preserve">Our focus is transaction integrity across a business workflow. We are not claiming that existing enterprise controls cannot do this.</w:t>
      </w:r>
    </w:p>
    <w:p>
      <w:pPr>
        <w:pStyle w:val="Normal"/>
      </w:pPr>
      <w:r>
        <w:t xml:space="preserve">The next step is to connect a real agent and procurement sandbox, then evaluate more workflows.</w:t>
      </w:r>
    </w:p>
    <w:p>
      <w:pPr>
        <w:pStyle w:val="Normal"/>
      </w:pPr>
      <w:r>
        <w:t xml:space="preserve">ChainGuard’s goal is practical: keep useful automation moving, pause uncertain actions, and make every decision explainable. Thank you.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3"/>
        <w:color w:val="243D32"/>
      </w:rPr>
    </w:rPrDefault>
    <w:pPrDefault>
      <w:pPr>
        <w:spacing w:after="140" w:line="285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200" w:after="300"/>
    </w:pPr>
    <w:rPr>
      <w:b/>
      <w:sz w:val="42"/>
      <w:color w:val="175C46"/>
    </w:rPr>
  </w:style>
  <w:style w:type="paragraph" w:styleId="Heading1">
    <w:name w:val="heading 1"/>
    <w:basedOn w:val="Normal"/>
    <w:pPr>
      <w:keepNext/>
      <w:spacing w:before="280" w:after="160"/>
      <w:outlineLvl w:val="0"/>
    </w:pPr>
    <w:rPr>
      <w:b/>
      <w:sz w:val="28"/>
      <w:color w:val="175C46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