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ERD Changelog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(non-key) columns to all tables.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Moved from composite to explicit primary keys. This allows join tables to serve other functions, such as with our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Books-Retailers-Locations</w:t>
      </w:r>
      <w:r w:rsidDel="00000000" w:rsidR="00000000" w:rsidRPr="00000000">
        <w:rPr>
          <w:sz w:val="26"/>
          <w:szCs w:val="26"/>
          <w:rtl w:val="0"/>
        </w:rPr>
        <w:t xml:space="preserve"> table. This table is referenced in the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DailySaleData</w:t>
      </w:r>
      <w:r w:rsidDel="00000000" w:rsidR="00000000" w:rsidRPr="00000000">
        <w:rPr>
          <w:sz w:val="26"/>
          <w:szCs w:val="26"/>
          <w:rtl w:val="0"/>
        </w:rPr>
        <w:t xml:space="preserve"> table, which is much simpler with an explicit primary key.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lookup Tables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Dates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Locations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Cities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States</w:t>
      </w:r>
      <w:r w:rsidDel="00000000" w:rsidR="00000000" w:rsidRPr="00000000">
        <w:rPr>
          <w:sz w:val="26"/>
          <w:szCs w:val="26"/>
          <w:rtl w:val="0"/>
        </w:rPr>
        <w:t xml:space="preserve"> to improve overall performance.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Maintaining separate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Formats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Editions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tables allow the user to specify both physical format (hardcover, paperback, leatherbound) and content (abridged, extended, large-type)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Specified the length of time the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SalesData</w:t>
      </w:r>
      <w:r w:rsidDel="00000000" w:rsidR="00000000" w:rsidRPr="00000000">
        <w:rPr>
          <w:sz w:val="26"/>
          <w:szCs w:val="26"/>
          <w:rtl w:val="0"/>
        </w:rPr>
        <w:t xml:space="preserve"> table refers to, altering its name to DailySalesData.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Allowed for tracking both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UnitsSold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DollarsSold</w:t>
      </w:r>
      <w:r w:rsidDel="00000000" w:rsidR="00000000" w:rsidRPr="00000000">
        <w:rPr>
          <w:sz w:val="26"/>
          <w:szCs w:val="26"/>
          <w:rtl w:val="0"/>
        </w:rPr>
        <w:t xml:space="preserve">, until we are able to determine which is more relevant to the company (or keep both.)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Changed Ad references to Promotion/ </w:t>
      </w:r>
      <w:r w:rsidDel="00000000" w:rsidR="00000000" w:rsidRPr="00000000">
        <w:rPr>
          <w:sz w:val="26"/>
          <w:szCs w:val="26"/>
          <w:rtl w:val="0"/>
        </w:rPr>
        <w:t xml:space="preserve">Promo</w:t>
      </w:r>
      <w:r w:rsidDel="00000000" w:rsidR="00000000" w:rsidRPr="00000000">
        <w:rPr>
          <w:sz w:val="26"/>
          <w:szCs w:val="26"/>
          <w:rtl w:val="0"/>
        </w:rPr>
        <w:t xml:space="preserve"> because of Greg’s advertising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Promotion now tracks both the total budgeted amount and the actual cost so far.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Made Book-Promotion relationship many to many to allow for promotions involving multiple titles (e.g., promoting a group of classic books)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Separated retailer table into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Retailers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Retailers-Locations</w:t>
      </w:r>
      <w:r w:rsidDel="00000000" w:rsidR="00000000" w:rsidRPr="00000000">
        <w:rPr>
          <w:sz w:val="26"/>
          <w:szCs w:val="26"/>
          <w:rtl w:val="0"/>
        </w:rPr>
        <w:t xml:space="preserve"> to allow for statistics per company and per retail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Added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Series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Books-Series</w:t>
      </w:r>
      <w:r w:rsidDel="00000000" w:rsidR="00000000" w:rsidRPr="00000000">
        <w:rPr>
          <w:sz w:val="26"/>
          <w:szCs w:val="26"/>
          <w:rtl w:val="0"/>
        </w:rPr>
        <w:t xml:space="preserve"> tables to allow for analysis through series.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Group 1 10/11 deliverable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Greg Hay, INFO 445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Brendan, Parker, and Jake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