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Documento Inicial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Easy Office — Presentación de la Empresa y Problemática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10" w:val="single"/>
        </w:pBd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Levantamiento inicial — Portal Transaccional y CRM para Easy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¿Qué es Easy Office?</w:t>
      </w:r>
    </w:p>
    <w:p w:rsidR="00000000" w:rsidDel="00000000" w:rsidP="00000000" w:rsidRDefault="00000000" w:rsidRPr="00000000" w14:paraId="00000005">
      <w:pPr>
        <w:spacing w:after="140" w:lineRule="auto"/>
        <w:rPr/>
      </w:pPr>
      <w:r w:rsidDel="00000000" w:rsidR="00000000" w:rsidRPr="00000000">
        <w:rPr>
          <w:rtl w:val="0"/>
        </w:rPr>
        <w:t xml:space="preserve">Easy Office (easyoffice.cl) es una empresa chilena con más de 15 años en el mercado, especializada en oficinas virtuales, formalización de empresas y soluciones tributarias y documentales para emprendedores y Pymes. A lo largo de su trayectoria ha gestionado miles de emprendimientos en Chile, posicionándose como un actor relevante en la simplificación de trámites de creación y operación de negocios.</w:t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rtl w:val="0"/>
        </w:rPr>
        <w:t xml:space="preserve">Su propuesta de valor central es resolver la burocracia que enfrenta cualquier persona que quiere crear o formalizar un negocio en Chile, actuando como intermediario entre el emprendedor y organismos como el Servicio de Impuestos Internos (SII), municipalidades, notarios y plataformas de firma electrónica.</w:t>
      </w:r>
    </w:p>
    <w:p w:rsidR="00000000" w:rsidDel="00000000" w:rsidP="00000000" w:rsidRDefault="00000000" w:rsidRPr="00000000" w14:paraId="00000007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1.1 Líneas de negocio</w:t>
      </w:r>
    </w:p>
    <w:tbl>
      <w:tblPr>
        <w:tblStyle w:val="Table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30"/>
        <w:gridCol w:w="4245"/>
        <w:tblGridChange w:id="0">
          <w:tblGrid>
            <w:gridCol w:w="5130"/>
            <w:gridCol w:w="424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Línea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Qué incluye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Domicilio Tributario y Comercial (Oficina Virtual)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Arriendo de una dirección física (comercial y tributaria) válida ante el SII y municipalidades, que permite a las Pymes iniciar actividades, tramitar patentes y emitir facturas electrónicas sin arrendar una oficina real. Incluye "Bodega Virtual" y recepción de correspondencia fiscal.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Constitución de Empresas y Tramitación en SII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Creación de sociedades mediante el portal "Empresa en 1 Día" o por escritura pública, habilitación de facturación electrónica, inicio de actividades ante el SII y obtención de Clave Tributaria y certificados.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Gestión Documental y Firma Electrónica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Procesamiento de documentos legales recurrentes (declaraciones juradas, contratos de arriendo de domicilio, escrituras, poderes), con integración de ClaveÚnica y Firma Electrónica Avanzada (FEA), articulando trámites con su red de notarios y plataformas digitales.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Asesoría Contable y Tributaria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Contabilidad mensual, elaboración de balances y optimización o rebaja de impuestos para los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Situación actual</w:t>
      </w:r>
    </w:p>
    <w:p w:rsidR="00000000" w:rsidDel="00000000" w:rsidP="00000000" w:rsidRDefault="00000000" w:rsidRPr="00000000" w14:paraId="00000018">
      <w:pPr>
        <w:spacing w:after="140" w:lineRule="auto"/>
        <w:rPr/>
      </w:pPr>
      <w:r w:rsidDel="00000000" w:rsidR="00000000" w:rsidRPr="00000000">
        <w:rPr>
          <w:rtl w:val="0"/>
        </w:rPr>
        <w:t xml:space="preserve">Actualmente, el sitio web de Easy Office cumple un rol principalmente informativo y promocional ("vitrina"): expone los servicios, pero no permite contratarlos ni pagarlos en línea. Todo el proceso comercial y operativo posterior al primer contacto se realiza de forma manual: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escribe por WhatsApp o completa un formulario básico en la web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Levantamiento de datos: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ejecutivo solicita y registra la información del cliente por chat o en planillas Excel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Cobro: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realiza mediante transferencia bancaria manual, sin conciliación automática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contratos: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trámite y documento se procesa de forma individual, uno a uno, con seguimiento manual</w:t>
      </w:r>
    </w:p>
    <w:p w:rsidR="00000000" w:rsidDel="00000000" w:rsidP="00000000" w:rsidRDefault="00000000" w:rsidRPr="00000000" w14:paraId="0000001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Problemática identificada</w:t>
      </w:r>
    </w:p>
    <w:p w:rsidR="00000000" w:rsidDel="00000000" w:rsidP="00000000" w:rsidRDefault="00000000" w:rsidRPr="00000000" w14:paraId="0000001E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3.1 Cuello de botella operativo y baja escalabilidad</w:t>
      </w:r>
    </w:p>
    <w:p w:rsidR="00000000" w:rsidDel="00000000" w:rsidP="00000000" w:rsidRDefault="00000000" w:rsidRPr="00000000" w14:paraId="0000001F">
      <w:pPr>
        <w:spacing w:after="140" w:lineRule="auto"/>
        <w:rPr/>
      </w:pPr>
      <w:r w:rsidDel="00000000" w:rsidR="00000000" w:rsidRPr="00000000">
        <w:rPr>
          <w:rtl w:val="0"/>
        </w:rPr>
        <w:t xml:space="preserve">La dependencia de canales manuales (WhatsApp, Excel, contacto telefónico con notarios) limita severamente la capacidad de atención de Easy Office, generando tiempos de procesamiento elevados y una barrera estructural para crecer en volumen de clientes sin aumentar proporcionalmente la dotación de ejecutivos.</w:t>
      </w:r>
    </w:p>
    <w:p w:rsidR="00000000" w:rsidDel="00000000" w:rsidP="00000000" w:rsidRDefault="00000000" w:rsidRPr="00000000" w14:paraId="00000020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3.2 Vulnerabilidad en seguridad y gobernanza de datos</w:t>
      </w:r>
    </w:p>
    <w:p w:rsidR="00000000" w:rsidDel="00000000" w:rsidP="00000000" w:rsidRDefault="00000000" w:rsidRPr="00000000" w14:paraId="00000021">
      <w:pPr>
        <w:spacing w:after="140" w:lineRule="auto"/>
        <w:rPr/>
      </w:pPr>
      <w:r w:rsidDel="00000000" w:rsidR="00000000" w:rsidRPr="00000000">
        <w:rPr>
          <w:rtl w:val="0"/>
        </w:rPr>
        <w:t xml:space="preserve">La recolección de información sensible (datos personales, comerciales y legales) a través de archivos Excel no cuenta con cifrado, gestión de permisos por roles ni registros de auditoría. Esto impide rastrear la trazabilidad de los movimientos realizados por ejecutivos internos o colaboradores freelance, exponiendo a la empresa a fugas de información y errores humanos no auditables.</w:t>
      </w:r>
    </w:p>
    <w:p w:rsidR="00000000" w:rsidDel="00000000" w:rsidP="00000000" w:rsidRDefault="00000000" w:rsidRPr="00000000" w14:paraId="0000002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3.3 Fricción en la experiencia de pago y validación</w:t>
      </w:r>
    </w:p>
    <w:p w:rsidR="00000000" w:rsidDel="00000000" w:rsidP="00000000" w:rsidRDefault="00000000" w:rsidRPr="00000000" w14:paraId="00000023">
      <w:pPr>
        <w:spacing w:after="140" w:lineRule="auto"/>
        <w:rPr/>
      </w:pPr>
      <w:r w:rsidDel="00000000" w:rsidR="00000000" w:rsidRPr="00000000">
        <w:rPr>
          <w:rtl w:val="0"/>
        </w:rPr>
        <w:t xml:space="preserve">El proceso financiero depende exclusivamente de transferencias bancarias manuales y esquemas de cobro divididos (por ejemplo 50% abono / 50% término), sin conciliación automática. Además, la validación de identidad y el enrolamiento de datos de los clientes no está integrado directamente con los marcos legales vigentes en materia de firma electrónica (Ley 19.799) ni con plataformas oficiales de autenticación como ClaveÚnica.</w:t>
      </w:r>
    </w:p>
    <w:p w:rsidR="00000000" w:rsidDel="00000000" w:rsidP="00000000" w:rsidRDefault="00000000" w:rsidRPr="00000000" w14:paraId="00000024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3.4 Desalineación entre canal digital y operación real</w:t>
      </w:r>
    </w:p>
    <w:p w:rsidR="00000000" w:rsidDel="00000000" w:rsidP="00000000" w:rsidRDefault="00000000" w:rsidRPr="00000000" w14:paraId="00000025">
      <w:pPr>
        <w:spacing w:after="140" w:lineRule="auto"/>
        <w:rPr/>
      </w:pPr>
      <w:r w:rsidDel="00000000" w:rsidR="00000000" w:rsidRPr="00000000">
        <w:rPr>
          <w:rtl w:val="0"/>
        </w:rPr>
        <w:t xml:space="preserve">Existe una brecha entre lo que el sitio web comunica (una empresa moderna y digital) y cómo se ejecuta realmente el servicio (procesos manuales y fragmentados). Esto afecta la experiencia del cliente final, que no puede autogestionar su trámite ni tener visibilidad del estado de su solicitud.</w:t>
      </w:r>
    </w:p>
    <w:p w:rsidR="00000000" w:rsidDel="00000000" w:rsidP="00000000" w:rsidRDefault="00000000" w:rsidRPr="00000000" w14:paraId="0000002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Oportunidad</w:t>
      </w:r>
    </w:p>
    <w:p w:rsidR="00000000" w:rsidDel="00000000" w:rsidP="00000000" w:rsidRDefault="00000000" w:rsidRPr="00000000" w14:paraId="00000027">
      <w:pPr>
        <w:spacing w:after="140" w:lineRule="auto"/>
        <w:rPr/>
      </w:pPr>
      <w:r w:rsidDel="00000000" w:rsidR="00000000" w:rsidRPr="00000000">
        <w:rPr>
          <w:rtl w:val="0"/>
        </w:rPr>
        <w:t xml:space="preserve">Convertir el sitio de Easy Office en un portal transaccional automatizado y un CRM interno permitiría que el cliente ingrese a la web, seleccione directamente su trámite (por ejemplo, Contratar Domicilio Tributario o Declaración Jurada), se autentique con ClaveÚnica, pague en línea (50%/100%) y gatille automáticamente la generación del borrador junto con la Firma Electrónica Avanzada, eliminando pasos manuales en cada etapa del proceso.</w:t>
      </w:r>
    </w:p>
    <w:p w:rsidR="00000000" w:rsidDel="00000000" w:rsidP="00000000" w:rsidRDefault="00000000" w:rsidRPr="00000000" w14:paraId="00000028">
      <w:pPr>
        <w:pBdr>
          <w:top w:color="1f3864" w:space="4" w:sz="6" w:val="single"/>
        </w:pBdr>
        <w:spacing w:before="3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Nota: este documento reúne el levantamiento inicial de la empresa y su problemática, como base para el Documento de Especificación de Requerimientos (SRS) y los mockups del portal.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3864" w:space="4" w:sz="6" w:val="single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2UXYuBeTW6V59vw3xdQmhmgC9g==">CgMxLjA4AHIhMWpGN0JzTFo5amtvdGtYQWN0OWpfcFcwOUlwUFUwc3FN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2026-09-07T20:08:23.145Z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