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Fütterung</w:t>
        <w:br/>
        <w:t>Jetzt macht Holger Hartmann die Ration von Basu und BWS, kontrolliert die Reproduktion. Es ist immer noch eine fast 5 kg Trockensubstanz von dieser Grassilage mit Ration. Das Problem ist, dass mit dem Brestfutter weiter verfüttert wird, weil Trockensteher und keine Stabilisation drin ist. Probleme mit fetten Kühen, Probleme mit Platz, Probleme mit Futterhygiene, Probleme mit Rationsgestaltung. Es sind noch 300 g Fett in der Ration.</w:t>
        <w:br/>
        <w:br/>
        <w:t>Sonstiges</w:t>
        <w:br/>
        <w:t>Betrieb Christgrün. Frau Brinkmann hat lange keine Beratung gehabt. Es ist sehr, sehr schlecht gelaufen, sehr wenig gemolken. Die Grassilage ist sehr, sehr schlechte Qualität im Ozean. Es ist viel zu früh geerntet, viel zu nass, nicht siliert, hat schwarze Strahlen. Der Mais sieht gut aus, Biogas-Meislänge. Die Trockensteherbereiche sind vollkommen überbelegt. Da müsste man nach Lösungen suchen, dass es da auch viel besser geht. Auch sehr viele dicke Tiere drin, weil die Furchtbarkeit lange nicht gut funktioniert hat und die Zwischengabe Zeit sehr lange ist. Das ist natürlich der totale Wahnsinn.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