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Sonstiges</w:t>
        <w:br/>
        <w:t>Die Tierhaltung sollte eine strukturgebende Komponente sein auf dem Betrieb. Da noch viele Prozesse ziemlich unstrukturiert sind, da relativ viele Labyrinthen passieren, die ein Großmaß an Personal wieder einfordern, muss trotzdem eine ganz detaillierte und genaue Schicht in der Arbeitsplatzbeschreibung bedarren. Die Leute müssen jeden Tag acht Stunden lang wissen, was ihre Aufgaben sind. Weil sonst immer der Verdacht entsteht, die Leute hätten nichts zu tun und sie könnten dann noch mal eben schnell irgendwelche anderen Arbeiten erledigen. Ein weiteres Thema sind die Silageproduktion. Es müsste jetzt ganz schnell auch nächste Woche der erste Schnitt mal gemacht werden. Die grüne Schnittprobe ist abgegeben. Schnittzeit, Punktbestimmung. Und da aber wohl der Mais noch nicht gelegt ist, befürchtet Andre, dass sich das mit der Grasse-Silage-Ernte noch mehrere Wochen nimmt. Das wäre natürlich vital, weil wir einen ersten Schnitt nicht oder oft nicht mit ausreichender Menge ernten können. Aber wenn der erste Schnitt nicht geerntet wird, gibt es auch keinen zweiten Schnitt. Daher ist es wichtig, trotz mangelhafter Menge den ersten Schnitt trotzdem zu ernten, weil man dann quantitativ und qualitativ einen deutlich besseren zweiten Schnitt ernten kann. Wegen Restfeuchte im Boden, wegen frischem Aufwuchs. Hier sollte man unbedingt versuchen, die Grasse-Silage jung und in passender Qualität zu ernten.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