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BF" w:rsidRDefault="00855D9C">
      <w:r>
        <w:t>2) Otra función hash podría ser la siguiente:</w:t>
      </w:r>
    </w:p>
    <w:p w:rsidR="00855D9C" w:rsidRPr="008D2709" w:rsidRDefault="00855D9C" w:rsidP="00855D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m{kA}</m:t>
              </m:r>
            </m:e>
          </m:d>
        </m:oMath>
      </m:oMathPara>
    </w:p>
    <w:p w:rsidR="008D2709" w:rsidRDefault="008D2709" w:rsidP="008D2709">
      <w:pPr>
        <w:rPr>
          <w:rFonts w:eastAsiaTheme="minorEastAsia"/>
        </w:rPr>
      </w:pPr>
      <w:r>
        <w:rPr>
          <w:rFonts w:eastAsiaTheme="minorEastAsia"/>
        </w:rPr>
        <w:t>Donde:</w:t>
      </w:r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 xml:space="preserve">m es </w:t>
      </w:r>
      <w:r w:rsidR="0052388E">
        <w:t>la potencia de 2 que le sigue al tamaño de la tabla</w:t>
      </w:r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 xml:space="preserve">k es la clave a </w:t>
      </w:r>
      <w:proofErr w:type="spellStart"/>
      <w:r>
        <w:t>hashear</w:t>
      </w:r>
      <w:proofErr w:type="spellEnd"/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>h es el código hash</w:t>
      </w:r>
    </w:p>
    <w:p w:rsidR="008D2709" w:rsidRPr="00F514BD" w:rsidRDefault="008D2709" w:rsidP="008D2709">
      <w:pPr>
        <w:pStyle w:val="Prrafodelista"/>
        <w:numPr>
          <w:ilvl w:val="0"/>
          <w:numId w:val="1"/>
        </w:numPr>
      </w:pPr>
      <w:r>
        <w:t xml:space="preserve">A es una constante: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≈0,62</m:t>
        </m:r>
      </m:oMath>
    </w:p>
    <w:p w:rsidR="00F514BD" w:rsidRDefault="0052388E" w:rsidP="00F514BD">
      <w:r>
        <w:t>En este caso, n</w:t>
      </w:r>
      <w:r w:rsidR="00F514BD">
        <w:t>os queda de la siguiente manera:</w:t>
      </w:r>
    </w:p>
    <w:p w:rsidR="00F514BD" w:rsidRPr="0052388E" w:rsidRDefault="0052388E" w:rsidP="0052388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256</m:t>
              </m:r>
              <m:r>
                <w:rPr>
                  <w:rFonts w:ascii="Cambria Math" w:hAnsi="Cambria Math"/>
                </w:rPr>
                <m:t>{k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}</m:t>
              </m:r>
            </m:e>
          </m:d>
        </m:oMath>
      </m:oMathPara>
    </w:p>
    <w:p w:rsidR="0052388E" w:rsidRPr="0052388E" w:rsidRDefault="0052388E" w:rsidP="0052388E">
      <w:pPr>
        <w:rPr>
          <w:rFonts w:eastAsiaTheme="minorEastAsia"/>
        </w:rPr>
      </w:pPr>
      <w:r>
        <w:rPr>
          <w:rFonts w:eastAsiaTheme="minorEastAsia"/>
        </w:rPr>
        <w:t>Aplicando la fórmula a los valores dados, nos queda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14BD" w:rsidTr="00F514BD">
        <w:tc>
          <w:tcPr>
            <w:tcW w:w="4247" w:type="dxa"/>
          </w:tcPr>
          <w:p w:rsidR="00F514BD" w:rsidRPr="007C29B7" w:rsidRDefault="00F514BD" w:rsidP="007C29B7">
            <w:pPr>
              <w:jc w:val="center"/>
              <w:rPr>
                <w:b/>
              </w:rPr>
            </w:pPr>
            <w:r w:rsidRPr="007C29B7">
              <w:rPr>
                <w:b/>
              </w:rPr>
              <w:t>Valores</w:t>
            </w:r>
          </w:p>
        </w:tc>
        <w:tc>
          <w:tcPr>
            <w:tcW w:w="4247" w:type="dxa"/>
          </w:tcPr>
          <w:p w:rsidR="00F514BD" w:rsidRPr="007C29B7" w:rsidRDefault="00F514BD" w:rsidP="007C29B7">
            <w:pPr>
              <w:jc w:val="center"/>
              <w:rPr>
                <w:b/>
              </w:rPr>
            </w:pPr>
            <w:r w:rsidRPr="007C29B7">
              <w:rPr>
                <w:b/>
              </w:rPr>
              <w:t>Hash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10168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43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21362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113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8515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143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7993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 w:rsidRPr="0052388E">
              <w:rPr>
                <w:color w:val="FF0000"/>
              </w:rPr>
              <w:t>242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32434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80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29786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194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35175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88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50255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76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32305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150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24971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 w:rsidRPr="00132732">
              <w:rPr>
                <w:color w:val="FF0000"/>
              </w:rPr>
              <w:t>237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10177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187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53101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57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12901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65</w:t>
            </w:r>
          </w:p>
        </w:tc>
      </w:tr>
    </w:tbl>
    <w:p w:rsidR="00F514BD" w:rsidRDefault="007C29B7" w:rsidP="007C29B7">
      <w:pPr>
        <w:jc w:val="both"/>
      </w:pPr>
      <w:r>
        <w:t xml:space="preserve">Como se puede apreciar, quedaron 2 valores marcados en rojo porque exceden al tamaño de la tabla. Para ello tendríamos que dividirlos por 200 para obtener su resto. Por ende, la fórmula de </w:t>
      </w:r>
      <w:proofErr w:type="spellStart"/>
      <w:r>
        <w:t>hashing</w:t>
      </w:r>
      <w:proofErr w:type="spellEnd"/>
      <w:r>
        <w:t xml:space="preserve"> nos quedaría de la siguiente forma:</w:t>
      </w:r>
    </w:p>
    <w:p w:rsidR="007C29B7" w:rsidRPr="0052388E" w:rsidRDefault="007C29B7" w:rsidP="007C29B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256{k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%200</m:t>
          </m:r>
        </m:oMath>
      </m:oMathPara>
    </w:p>
    <w:p w:rsidR="007C29B7" w:rsidRDefault="007C29B7" w:rsidP="007C29B7">
      <w:pPr>
        <w:jc w:val="both"/>
      </w:pPr>
      <w:r>
        <w:t>Nos quedaría la tabla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29B7" w:rsidTr="002926E8">
        <w:tc>
          <w:tcPr>
            <w:tcW w:w="4247" w:type="dxa"/>
          </w:tcPr>
          <w:p w:rsidR="007C29B7" w:rsidRPr="007C29B7" w:rsidRDefault="007C29B7" w:rsidP="002926E8">
            <w:pPr>
              <w:jc w:val="center"/>
              <w:rPr>
                <w:b/>
              </w:rPr>
            </w:pPr>
            <w:r w:rsidRPr="007C29B7">
              <w:rPr>
                <w:b/>
              </w:rPr>
              <w:t>Valores</w:t>
            </w:r>
          </w:p>
        </w:tc>
        <w:tc>
          <w:tcPr>
            <w:tcW w:w="4247" w:type="dxa"/>
          </w:tcPr>
          <w:p w:rsidR="007C29B7" w:rsidRPr="007C29B7" w:rsidRDefault="007C29B7" w:rsidP="002926E8">
            <w:pPr>
              <w:jc w:val="center"/>
              <w:rPr>
                <w:b/>
              </w:rPr>
            </w:pPr>
            <w:r w:rsidRPr="007C29B7">
              <w:rPr>
                <w:b/>
              </w:rPr>
              <w:t>Hash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10168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43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21362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113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8515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143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7993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 w:rsidRPr="007C29B7">
              <w:t>42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32434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80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29786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194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35175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88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50255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76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32305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150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24971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 w:rsidRPr="007C29B7">
              <w:t>37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lastRenderedPageBreak/>
              <w:t>10177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187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53101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57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12901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65</w:t>
            </w:r>
          </w:p>
        </w:tc>
      </w:tr>
    </w:tbl>
    <w:p w:rsidR="007C29B7" w:rsidRDefault="001129E3" w:rsidP="007C29B7">
      <w:pPr>
        <w:jc w:val="both"/>
      </w:pPr>
      <w:r>
        <w:t>Ya no hay más colisiones.</w:t>
      </w:r>
    </w:p>
    <w:p w:rsidR="005112AB" w:rsidRDefault="005112AB" w:rsidP="007C29B7">
      <w:pPr>
        <w:jc w:val="both"/>
      </w:pPr>
      <w:r>
        <w:t>Otra función hash que podríamos usar es el de plegado, el cual consiste en dividir por partes, sumar y aplicar el módulo, como dice la siguiente ecuación:</w:t>
      </w:r>
    </w:p>
    <w:p w:rsidR="005112AB" w:rsidRDefault="005112AB" w:rsidP="007C29B7">
      <w:pPr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mod m</m:t>
          </m:r>
        </m:oMath>
      </m:oMathPara>
      <w:bookmarkStart w:id="0" w:name="_GoBack"/>
      <w:bookmarkEnd w:id="0"/>
    </w:p>
    <w:sectPr w:rsidR="00511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51E6"/>
    <w:multiLevelType w:val="hybridMultilevel"/>
    <w:tmpl w:val="787A7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B5"/>
    <w:rsid w:val="000C57B5"/>
    <w:rsid w:val="001129E3"/>
    <w:rsid w:val="00132732"/>
    <w:rsid w:val="003C08BF"/>
    <w:rsid w:val="005112AB"/>
    <w:rsid w:val="0052388E"/>
    <w:rsid w:val="007C29B7"/>
    <w:rsid w:val="00855D9C"/>
    <w:rsid w:val="008D2709"/>
    <w:rsid w:val="00F5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5A3E-9ADD-4099-A4CF-FEF8CDCA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5D9C"/>
    <w:rPr>
      <w:color w:val="808080"/>
    </w:rPr>
  </w:style>
  <w:style w:type="paragraph" w:styleId="Prrafodelista">
    <w:name w:val="List Paragraph"/>
    <w:basedOn w:val="Normal"/>
    <w:uiPriority w:val="34"/>
    <w:qFormat/>
    <w:rsid w:val="008D27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1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6</cp:revision>
  <dcterms:created xsi:type="dcterms:W3CDTF">2025-09-11T14:02:00Z</dcterms:created>
  <dcterms:modified xsi:type="dcterms:W3CDTF">2025-09-11T14:56:00Z</dcterms:modified>
</cp:coreProperties>
</file>