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GreatOS — Document des exigences techniques</w:t>
      </w:r>
    </w:p>
    <w:p>
      <w:pPr/>
      <w:r>
        <w:rPr>
          <w:i/>
        </w:rPr>
        <w:t xml:space="preserve">Source unique : cahier des charges GreatOS, version 1.0 (30 novembre 2025).</w:t>
      </w:r>
    </w:p>
    <w:p>
      <w:pPr/>
      <w:r>
        <w:rPr>
          <w:b/>
        </w:rPr>
        <w:t xml:space="preserve">Règle pour les agents :</w:t>
      </w:r>
      <w:r>
        <w:t xml:space="preserve"> n'utiliser que ce document. Si une information technique est absente, la signaler comme « non spécifiée ». Ne jamais inventer une version, un paramètre, un protocole ou une signature.</w:t>
      </w:r>
    </w:p>
    <w:p>
      <w:pPr>
        <w:pStyle w:val="Heading2"/>
      </w:pPr>
      <w:r>
        <w:t xml:space="preserve">1. Architecture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Phase 1 :</w:t>
      </w:r>
      <w:r>
        <w:t xml:space="preserve"> client local d'abord (local-first).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Phase 2 et après :</w:t>
      </w:r>
      <w:r>
        <w:t xml:space="preserve"> client-serveur hybride.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Couches :</w:t>
      </w:r>
      <w:r>
        <w:t xml:space="preserve"> présentation, logique métier, données.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Principe :</w:t>
      </w:r>
      <w:r>
        <w:t xml:space="preserve"> GreatOS se superpose à un système d'exploitation existant. Il ne remplace pas le noyau.</w:t>
      </w:r>
    </w:p>
    <w:p>
      <w:pPr>
        <w:pStyle w:val="Heading2"/>
      </w:pPr>
      <w:r>
        <w:t xml:space="preserve">2. Stack technologique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Backend :</w:t>
      </w:r>
      <w:r>
        <w:t xml:space="preserve"> Python, FastAPI, SQLite (puis PostgreSQL), Redis, Ollama avec Llama 3.1.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Frontend :</w:t>
      </w:r>
      <w:r>
        <w:t xml:space="preserve"> Electron, React, TypeScript, Tailwind CSS.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Apprentissage automatique :</w:t>
      </w:r>
      <w:r>
        <w:t xml:space="preserve"> scikit-learn, spaCy, TensorFlow Lite.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Opérations de développement :</w:t>
      </w:r>
      <w:r>
        <w:t xml:space="preserve"> Git, Docker, GitHub Actions.</w:t>
      </w:r>
    </w:p>
    <w:p>
      <w:pPr>
        <w:pStyle w:val="Heading2"/>
      </w:pPr>
      <w:r>
        <w:t xml:space="preserve">3. Technologies par module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Technologies indiquées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Jarvis</w:t>
            </w:r>
          </w:p>
        </w:tc>
        <w:tc>
          <w:tcPr>
            <w:tcW w:w="4680" w:type="dxa"/>
          </w:tcPr>
          <w:p>
            <w:pPr/>
            <w:r>
              <w:t xml:space="preserve">Ollama (grand modèle de langage local), spaCy (compréhension du langage naturel), SQLite (mémoire)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Core Intellect</w:t>
            </w:r>
          </w:p>
        </w:tc>
        <w:tc>
          <w:tcPr>
            <w:tcW w:w="4680" w:type="dxa"/>
          </w:tcPr>
          <w:p>
            <w:pPr/>
            <w:r>
              <w:t xml:space="preserve">Moteur de décision (règles + apprentissage automatique), Random Forest, graphe de connaissances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Context Engine</w:t>
            </w:r>
          </w:p>
        </w:tc>
        <w:tc>
          <w:tcPr>
            <w:tcW w:w="4680" w:type="dxa"/>
          </w:tcPr>
          <w:p>
            <w:pPr/>
            <w:r>
              <w:t xml:space="preserve">Crochets système (OS hooks), réseau LSTM (Long Short-Term Memory), analyse de séries temporelles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TaskFlow</w:t>
            </w:r>
          </w:p>
        </w:tc>
        <w:tc>
          <w:tcPr>
            <w:tcW w:w="4680" w:type="dxa"/>
          </w:tcPr>
          <w:p>
            <w:pPr/>
            <w:r>
              <w:t xml:space="preserve">Python asyncio, fouille de séquences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Progress Tracker</w:t>
            </w:r>
          </w:p>
        </w:tc>
        <w:tc>
          <w:tcPr>
            <w:tcW w:w="4680" w:type="dxa"/>
          </w:tcPr>
          <w:p>
            <w:pPr/>
            <w:r>
              <w:t xml:space="preserve">Pandas, Chart.js, ARIMA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DataShield</w:t>
            </w:r>
          </w:p>
        </w:tc>
        <w:tc>
          <w:tcPr>
            <w:tcW w:w="4680" w:type="dxa"/>
          </w:tcPr>
          <w:p>
            <w:pPr/>
            <w:r>
              <w:t xml:space="preserve">SQLCipher, Argon2id, Isolation Forest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SyncSphere</w:t>
            </w:r>
          </w:p>
        </w:tc>
        <w:tc>
          <w:tcPr>
            <w:tcW w:w="4680" w:type="dxa"/>
          </w:tcPr>
          <w:p>
            <w:pPr/>
            <w:r>
              <w:t xml:space="preserve">Export et import chiffrés, sauvegarde locale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Interface Morphique</w:t>
            </w:r>
          </w:p>
        </w:tc>
        <w:tc>
          <w:tcPr>
            <w:tcW w:w="4680" w:type="dxa"/>
          </w:tcPr>
          <w:p>
            <w:pPr/>
            <w:r>
              <w:t xml:space="preserve">React, Tailwind CSS, bascule selon le contexte</w:t>
            </w:r>
          </w:p>
        </w:tc>
      </w:tr>
    </w:tbl>
    <w:p>
      <w:pPr>
        <w:pStyle w:val="Heading2"/>
      </w:pPr>
      <w:r>
        <w:t xml:space="preserve">3 bis. Perspective multi-plateformes</w:t>
      </w:r>
    </w:p>
    <w:p>
      <w:pPr>
        <w:pStyle w:val="ListParagraph"/>
        <w:numPr>
          <w:ilvl w:val="0"/>
          <w:numId w:val="4"/>
        </w:numPr>
      </w:pPr>
      <w:r>
        <w:t xml:space="preserve">Desktop : Windows, macOS, Linux.</w:t>
      </w:r>
    </w:p>
    <w:p>
      <w:pPr>
        <w:pStyle w:val="ListParagraph"/>
        <w:numPr>
          <w:ilvl w:val="0"/>
          <w:numId w:val="4"/>
        </w:numPr>
      </w:pPr>
      <w:r>
        <w:t xml:space="preserve">Applications mobiles : alpha en Phase 2, applications natives en Phase 3 et après.</w:t>
      </w:r>
    </w:p>
    <w:p>
      <w:pPr>
        <w:pStyle w:val="ListParagraph"/>
        <w:numPr>
          <w:ilvl w:val="0"/>
          <w:numId w:val="4"/>
        </w:numPr>
      </w:pPr>
      <w:r>
        <w:t xml:space="preserve">Interface de programmation publique : Phase 4.</w:t>
      </w:r>
    </w:p>
    <w:p>
      <w:pPr>
        <w:pStyle w:val="Heading2"/>
      </w:pPr>
      <w:r>
        <w:t xml:space="preserve">4. Exigences de performance</w:t>
      </w:r>
    </w:p>
    <w:p>
      <w:pPr>
        <w:pStyle w:val="ListParagraph"/>
        <w:numPr>
          <w:ilvl w:val="0"/>
          <w:numId w:val="5"/>
        </w:numPr>
      </w:pPr>
      <w:r>
        <w:t xml:space="preserve">Temps de réponse de Jarvis : moins de 2 secondes pour 95 % des requêtes.</w:t>
      </w:r>
    </w:p>
    <w:p>
      <w:pPr>
        <w:pStyle w:val="ListParagraph"/>
        <w:numPr>
          <w:ilvl w:val="0"/>
          <w:numId w:val="5"/>
        </w:numPr>
      </w:pPr>
      <w:r>
        <w:t xml:space="preserve">Compréhension du langage naturel : précision supérieure à 80 %.</w:t>
      </w:r>
    </w:p>
    <w:p>
      <w:pPr>
        <w:pStyle w:val="ListParagraph"/>
        <w:numPr>
          <w:ilvl w:val="0"/>
          <w:numId w:val="5"/>
        </w:numPr>
      </w:pPr>
      <w:r>
        <w:t xml:space="preserve">Précision des recommandations de Core Intellect : supérieure à 75 %.</w:t>
      </w:r>
    </w:p>
    <w:p>
      <w:pPr>
        <w:pStyle w:val="ListParagraph"/>
        <w:numPr>
          <w:ilvl w:val="0"/>
          <w:numId w:val="5"/>
        </w:numPr>
      </w:pPr>
      <w:r>
        <w:t xml:space="preserve">Processeur au repos : moins de 5 %.</w:t>
      </w:r>
    </w:p>
    <w:p>
      <w:pPr>
        <w:pStyle w:val="ListParagraph"/>
        <w:numPr>
          <w:ilvl w:val="0"/>
          <w:numId w:val="5"/>
        </w:numPr>
      </w:pPr>
      <w:r>
        <w:t xml:space="preserve">Mémoire vive : moins de 1,5 Go.</w:t>
      </w:r>
    </w:p>
    <w:p>
      <w:pPr>
        <w:pStyle w:val="ListParagraph"/>
        <w:numPr>
          <w:ilvl w:val="0"/>
          <w:numId w:val="5"/>
        </w:numPr>
      </w:pPr>
      <w:r>
        <w:t xml:space="preserve">Retour visuel : moins de 100 millisecondes.</w:t>
      </w:r>
    </w:p>
    <w:p>
      <w:pPr>
        <w:pStyle w:val="Heading2"/>
      </w:pPr>
      <w:r>
        <w:t xml:space="preserve">5. Stabilité et fiabilité</w:t>
      </w:r>
    </w:p>
    <w:p>
      <w:pPr>
        <w:pStyle w:val="ListParagraph"/>
        <w:numPr>
          <w:ilvl w:val="0"/>
          <w:numId w:val="6"/>
        </w:numPr>
      </w:pPr>
      <w:r>
        <w:t xml:space="preserve">Disponibilité : 99 % (critère de validation de la section 16, qui prime sur « supérieure à 99 % » des indicateurs techniques).</w:t>
      </w:r>
    </w:p>
    <w:p>
      <w:pPr>
        <w:pStyle w:val="ListParagraph"/>
        <w:numPr>
          <w:ilvl w:val="0"/>
          <w:numId w:val="6"/>
        </w:numPr>
      </w:pPr>
      <w:r>
        <w:t xml:space="preserve">Retour arrière (rollback) en cas d'erreur.</w:t>
      </w:r>
    </w:p>
    <w:p>
      <w:pPr>
        <w:pStyle w:val="ListParagraph"/>
        <w:numPr>
          <w:ilvl w:val="0"/>
          <w:numId w:val="6"/>
        </w:numPr>
      </w:pPr>
      <w:r>
        <w:t xml:space="preserve">Tests couvrant plus de 80 % du code critique.</w:t>
      </w:r>
    </w:p>
    <w:p>
      <w:pPr>
        <w:pStyle w:val="Heading2"/>
      </w:pPr>
      <w:r>
        <w:t xml:space="preserve">6. Sécurité</w:t>
      </w:r>
    </w:p>
    <w:p>
      <w:pPr/>
      <w:r>
        <w:rPr>
          <w:b/>
        </w:rPr>
        <w:t xml:space="preserve">Modèle de menaces :</w:t>
      </w:r>
    </w:p>
    <w:p>
      <w:pPr>
        <w:pStyle w:val="ListParagraph"/>
        <w:numPr>
          <w:ilvl w:val="0"/>
          <w:numId w:val="7"/>
        </w:numPr>
      </w:pPr>
      <w:r>
        <w:t xml:space="preserve">Actifs critiques : données utilisateur, identifiants, modèles d'apprentissage automatique.</w:t>
      </w:r>
    </w:p>
    <w:p>
      <w:pPr>
        <w:pStyle w:val="ListParagraph"/>
        <w:numPr>
          <w:ilvl w:val="0"/>
          <w:numId w:val="7"/>
        </w:numPr>
      </w:pPr>
      <w:r>
        <w:t xml:space="preserve">Menaces : phishing, rançongiciel, credential stuffing, attaque de l'homme du milieu.</w:t>
      </w:r>
    </w:p>
    <w:p>
      <w:pPr/>
      <w:r>
        <w:rPr>
          <w:b/>
        </w:rPr>
        <w:t xml:space="preserve">Contrôles :</w:t>
      </w:r>
    </w:p>
    <w:p>
      <w:pPr>
        <w:pStyle w:val="ListParagraph"/>
        <w:numPr>
          <w:ilvl w:val="0"/>
          <w:numId w:val="8"/>
        </w:numPr>
      </w:pPr>
      <w:r>
        <w:t xml:space="preserve">Chiffrement : AES-256-GCM, Transport Layer Security 1.3, chiffrement de bout en bout.</w:t>
      </w:r>
    </w:p>
    <w:p>
      <w:pPr>
        <w:pStyle w:val="ListParagraph"/>
        <w:numPr>
          <w:ilvl w:val="0"/>
          <w:numId w:val="8"/>
        </w:numPr>
      </w:pPr>
      <w:r>
        <w:t xml:space="preserve">Authentification : Argon2id, authentification à deux facteurs par mot de passe à usage unique basé sur le temps, biométrie.</w:t>
      </w:r>
    </w:p>
    <w:p>
      <w:pPr>
        <w:pStyle w:val="ListParagraph"/>
        <w:numPr>
          <w:ilvl w:val="0"/>
          <w:numId w:val="8"/>
        </w:numPr>
      </w:pPr>
      <w:r>
        <w:t xml:space="preserve">Détection : détection d'anomalies par apprentissage automatique, surveillance en temps réel, DEFCON (5 niveaux).</w:t>
      </w:r>
    </w:p>
    <w:p>
      <w:pPr/>
      <w:r>
        <w:rPr>
          <w:b/>
        </w:rPr>
        <w:t xml:space="preserve">Conformité (Phase 3 et après) :</w:t>
      </w:r>
      <w:r>
        <w:t xml:space="preserve"> règlement général sur la protection des données, California Consumer Privacy Act, ISO 27001, SOC 2 Type II.</w:t>
      </w:r>
    </w:p>
    <w:p>
      <w:pPr>
        <w:pStyle w:val="Heading2"/>
      </w:pPr>
      <w:r>
        <w:t xml:space="preserve">7. Matériel de développement minimal</w:t>
      </w:r>
    </w:p>
    <w:p>
      <w:pPr/>
      <w:r>
        <w:t xml:space="preserve">Ordinateur de type ThinkPad T480 ou équivalent, connexion internet stable, sauvegarde sur clé USB.</w:t>
      </w:r>
    </w:p>
    <w:p>
      <w:pPr>
        <w:pStyle w:val="Heading2"/>
      </w:pPr>
      <w:r>
        <w:t xml:space="preserve">8. Documentation technique attendue (projet de fin d'études)</w:t>
      </w:r>
    </w:p>
    <w:p>
      <w:pPr/>
      <w:r>
        <w:t xml:space="preserve">Mémoire de 100 à 120 pages, manuel utilisateur de 20 pages, documentation de l'interface de programmation interne de 15 pages, guide d'installation, code source commenté.</w:t>
      </w:r>
    </w:p>
    <w:p>
      <w:pPr>
        <w:pStyle w:val="Heading2"/>
      </w:pPr>
      <w:r>
        <w:t xml:space="preserve">9. Points non spécifiés dans le cahier des charges</w:t>
      </w:r>
    </w:p>
    <w:p>
      <w:pPr>
        <w:pStyle w:val="ListParagraph"/>
        <w:numPr>
          <w:ilvl w:val="0"/>
          <w:numId w:val="9"/>
        </w:numPr>
      </w:pPr>
      <w:r>
        <w:t xml:space="preserve">Versions précises des bibliothèques et de Python.</w:t>
      </w:r>
    </w:p>
    <w:p>
      <w:pPr>
        <w:pStyle w:val="ListParagraph"/>
        <w:numPr>
          <w:ilvl w:val="0"/>
          <w:numId w:val="9"/>
        </w:numPr>
      </w:pPr>
      <w:r>
        <w:t xml:space="preserve">Points d'accès (endpoints) de l'interface de programmation, formats de requête et de réponse.</w:t>
      </w:r>
    </w:p>
    <w:p>
      <w:pPr>
        <w:pStyle w:val="ListParagraph"/>
        <w:numPr>
          <w:ilvl w:val="0"/>
          <w:numId w:val="9"/>
        </w:numPr>
      </w:pPr>
      <w:r>
        <w:t xml:space="preserve">Description des 5 niveaux DEFCON et des actions associées.</w:t>
      </w:r>
    </w:p>
    <w:p>
      <w:pPr>
        <w:pStyle w:val="ListParagraph"/>
        <w:numPr>
          <w:ilvl w:val="0"/>
          <w:numId w:val="9"/>
        </w:numPr>
      </w:pPr>
      <w:r>
        <w:t xml:space="preserve">Paramètres de chiffrement (gestion des clés, rotation).</w:t>
      </w:r>
    </w:p>
    <w:p>
      <w:pPr>
        <w:pStyle w:val="ListParagraph"/>
        <w:numPr>
          <w:ilvl w:val="0"/>
          <w:numId w:val="9"/>
        </w:numPr>
      </w:pPr>
      <w:r>
        <w:t xml:space="preserve">Stratégie de migration de SQLite vers PostgreSQL et sa date.</w:t>
      </w:r>
    </w:p>
    <w:p>
      <w:pPr>
        <w:pStyle w:val="ListParagraph"/>
        <w:numPr>
          <w:ilvl w:val="0"/>
          <w:numId w:val="9"/>
        </w:numPr>
      </w:pPr>
      <w:r>
        <w:t xml:space="preserve">Rôle exact de Redis.</w:t>
      </w:r>
    </w:p>
    <w:p>
      <w:pPr>
        <w:pStyle w:val="ListParagraph"/>
        <w:numPr>
          <w:ilvl w:val="0"/>
          <w:numId w:val="9"/>
        </w:numPr>
      </w:pPr>
      <w:r>
        <w:t xml:space="preserve">Stratégie de repli si le modèle local est trop lent.</w:t>
      </w:r>
    </w:p>
    <w:p>
      <w:pPr>
        <w:pStyle w:val="ListParagraph"/>
        <w:numPr>
          <w:ilvl w:val="0"/>
          <w:numId w:val="9"/>
        </w:numPr>
      </w:pPr>
      <w:r>
        <w:t xml:space="preserve">Systèmes d'exploitation précis pris en charge au lancement.</w:t>
      </w:r>
    </w:p>
    <w:p>
      <w:pPr>
        <w:pStyle w:val="Heading2"/>
      </w:pPr>
      <w:r>
        <w:t xml:space="preserve">10. Incohérences réconciliées</w:t>
      </w:r>
    </w:p>
    <w:p>
      <w:pPr>
        <w:pStyle w:val="ListParagraph"/>
        <w:numPr>
          <w:ilvl w:val="0"/>
          <w:numId w:val="10"/>
        </w:numPr>
      </w:pPr>
      <w:r>
        <w:t xml:space="preserve">Disponibilité : 99 % retenu, car la section 16 est la cible inchangée.</w:t>
      </w:r>
    </w:p>
    <w:p>
      <w:pPr>
        <w:pStyle w:val="ListParagraph"/>
        <w:numPr>
          <w:ilvl w:val="0"/>
          <w:numId w:val="10"/>
        </w:numPr>
      </w:pPr>
      <w:r>
        <w:t xml:space="preserve">Applications mobiles : alpha en Phase 2 (feuille de route), applications natives en Phase 3 et après (périmètre). Lecture retenue, à confirmer par Carl-William.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GreatOS — Document des exigences techniques</dc:title>
  <dc:description>Claude Docs node/f1151a43-b016@6 docx-w6</dc:description>
  <cp:revision>6</cp:revision>
</cp:coreProperties>
</file>