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GreatOS — Flux de l'application</w:t>
      </w:r>
    </w:p>
    <w:p>
      <w:pPr/>
      <w:r>
        <w:rPr>
          <w:i/>
        </w:rPr>
        <w:t xml:space="preserve">Source unique : cahier des charges GreatOS, version 1.0 (30 novembre 2025).</w:t>
      </w:r>
    </w:p>
    <w:p>
      <w:pPr/>
      <w:r>
        <w:rPr>
          <w:b/>
        </w:rPr>
        <w:t xml:space="preserve">Règle pour les agents :</w:t>
      </w:r>
      <w:r>
        <w:t xml:space="preserve"> ce document ne décrit que les enchaînements que le cahier des charges établit. Chaque étape détaillée qui n'y figure pas est marquée « non spécifiée ». Ne jamais inventer un écran, un déclencheur ou une étape.</w:t>
      </w:r>
    </w:p>
    <w:p>
      <w:pPr>
        <w:pStyle w:val="Heading2"/>
      </w:pPr>
      <w:r>
        <w:t xml:space="preserve">1. Parcours de première utilisation (onboarding)</w:t>
      </w:r>
    </w:p>
    <w:p>
      <w:pPr/>
      <w:r>
        <w:t xml:space="preserve">Durée totale : 5 minutes, en 5 étapes.</w:t>
      </w:r>
    </w:p>
    <w:p>
      <w:pPr>
        <w:pStyle w:val="ListParagraph"/>
        <w:numPr>
          <w:ilvl w:val="0"/>
          <w:numId w:val="2"/>
        </w:numPr>
      </w:pPr>
      <w:r>
        <w:t xml:space="preserve">Bienvenue.</w:t>
      </w:r>
    </w:p>
    <w:p>
      <w:pPr>
        <w:pStyle w:val="ListParagraph"/>
        <w:numPr>
          <w:ilvl w:val="0"/>
          <w:numId w:val="2"/>
        </w:numPr>
      </w:pPr>
      <w:r>
        <w:t xml:space="preserve">Questions de découverte.</w:t>
      </w:r>
    </w:p>
    <w:p>
      <w:pPr>
        <w:pStyle w:val="ListParagraph"/>
        <w:numPr>
          <w:ilvl w:val="0"/>
          <w:numId w:val="2"/>
        </w:numPr>
      </w:pPr>
      <w:r>
        <w:t xml:space="preserve">Premier workflow suggéré.</w:t>
      </w:r>
    </w:p>
    <w:p>
      <w:pPr>
        <w:pStyle w:val="ListParagraph"/>
        <w:numPr>
          <w:ilvl w:val="0"/>
          <w:numId w:val="2"/>
        </w:numPr>
      </w:pPr>
      <w:r>
        <w:t xml:space="preserve">Configuration essentielle.</w:t>
      </w:r>
    </w:p>
    <w:p>
      <w:pPr>
        <w:pStyle w:val="ListParagraph"/>
        <w:numPr>
          <w:ilvl w:val="0"/>
          <w:numId w:val="2"/>
        </w:numPr>
      </w:pPr>
      <w:r>
        <w:t xml:space="preserve">Terminé.</w:t>
      </w:r>
    </w:p>
    <w:p>
      <w:pPr/>
      <w:r>
        <w:t xml:space="preserve">Contenu exact de chaque étape : non spécifié.</w:t>
      </w:r>
    </w:p>
    <w:p>
      <w:pPr>
        <w:pStyle w:val="Heading2"/>
      </w:pPr>
      <w:r>
        <w:t xml:space="preserve">2. Interaction conversationnelle</w:t>
      </w:r>
    </w:p>
    <w:p>
      <w:pPr>
        <w:pStyle w:val="ListParagraph"/>
        <w:numPr>
          <w:ilvl w:val="0"/>
          <w:numId w:val="3"/>
        </w:numPr>
      </w:pPr>
      <w:r>
        <w:t xml:space="preserve">L'utilisateur s'adresse à Jarvis en langage naturel (français ou anglais).</w:t>
      </w:r>
    </w:p>
    <w:p>
      <w:pPr>
        <w:pStyle w:val="ListParagraph"/>
        <w:numPr>
          <w:ilvl w:val="0"/>
          <w:numId w:val="3"/>
        </w:numPr>
      </w:pPr>
      <w:r>
        <w:t xml:space="preserve">Jarvis comprend la demande, s'appuie sur la mémoire conversationnelle et raisonne en plusieurs étapes si nécessaire.</w:t>
      </w:r>
    </w:p>
    <w:p>
      <w:pPr>
        <w:pStyle w:val="ListParagraph"/>
        <w:numPr>
          <w:ilvl w:val="0"/>
          <w:numId w:val="3"/>
        </w:numPr>
      </w:pPr>
      <w:r>
        <w:t xml:space="preserve">Jarvis orchestre les modules concernés.</w:t>
      </w:r>
    </w:p>
    <w:p>
      <w:pPr>
        <w:pStyle w:val="ListParagraph"/>
        <w:numPr>
          <w:ilvl w:val="0"/>
          <w:numId w:val="3"/>
        </w:numPr>
      </w:pPr>
      <w:r>
        <w:t xml:space="preserve">Si l'utilisateur corrige Jarvis, cette correction alimente l'apprentissage continu.</w:t>
      </w:r>
    </w:p>
    <w:p>
      <w:pPr/>
      <w:r>
        <w:t xml:space="preserve">Objectif de temps de réponse : moins de 2 secondes pour 95 % des requêtes.</w:t>
      </w:r>
    </w:p>
    <w:p>
      <w:pPr>
        <w:pStyle w:val="Heading2"/>
      </w:pPr>
      <w:r>
        <w:t xml:space="preserve">3. Contexte, décision et adaptation</w:t>
      </w:r>
    </w:p>
    <w:p>
      <w:pPr/>
      <w:r>
        <w:t xml:space="preserve">Le cahier des charges décrit ces rôles, pas une séquence d'appels précise 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Context Engine</w:t>
      </w:r>
      <w:r>
        <w:t xml:space="preserve"> analyse en permanence quatre dimensions (temporelle, cognitive, opérationnelle, spatiale), détecte des patterns, prédit le contexte futur et déclenche une adaptation proactive.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Core Intellect</w:t>
      </w:r>
      <w:r>
        <w:t xml:space="preserve"> analyse la situation et décide selon l'urgence, l'importance et l'effort. Il règle automatiquement les conflits et optimise les workflows.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Interface Morphique</w:t>
      </w:r>
      <w:r>
        <w:t xml:space="preserve"> change l'interface selon le contexte et l'activité, parmi 8 layouts contextuels.</w:t>
      </w:r>
    </w:p>
    <w:p>
      <w:pPr/>
      <w:r>
        <w:t xml:space="preserve">Format des messages entre ces modules : non spécifié.</w:t>
      </w:r>
    </w:p>
    <w:p>
      <w:pPr>
        <w:pStyle w:val="Heading2"/>
      </w:pPr>
      <w:r>
        <w:t xml:space="preserve">4. Automatisation (TaskFlow)</w:t>
      </w:r>
    </w:p>
    <w:p>
      <w:pPr>
        <w:pStyle w:val="ListParagraph"/>
        <w:numPr>
          <w:ilvl w:val="0"/>
          <w:numId w:val="5"/>
        </w:numPr>
      </w:pPr>
      <w:r>
        <w:t xml:space="preserve">Création d'un workflow : manuelle, ou par apprentissage automatique des tâches répétées.</w:t>
      </w:r>
    </w:p>
    <w:p>
      <w:pPr>
        <w:pStyle w:val="ListParagraph"/>
        <w:numPr>
          <w:ilvl w:val="0"/>
          <w:numId w:val="5"/>
        </w:numPr>
      </w:pPr>
      <w:r>
        <w:t xml:space="preserve">Des workflows préconfigurés existent.</w:t>
      </w:r>
    </w:p>
    <w:p>
      <w:pPr>
        <w:pStyle w:val="ListParagraph"/>
        <w:numPr>
          <w:ilvl w:val="0"/>
          <w:numId w:val="5"/>
        </w:numPr>
      </w:pPr>
      <w:r>
        <w:t xml:space="preserve">Exécution : fiable, avec retour arrière en cas d'erreur (critère de stabilité).</w:t>
      </w:r>
    </w:p>
    <w:p>
      <w:pPr>
        <w:pStyle w:val="ListParagraph"/>
        <w:numPr>
          <w:ilvl w:val="0"/>
          <w:numId w:val="5"/>
        </w:numPr>
      </w:pPr>
      <w:r>
        <w:t xml:space="preserve">Intégrations : applications locales et interfaces de programmation externes (Gmail, GitHub, Notion, etc.).</w:t>
      </w:r>
    </w:p>
    <w:p>
      <w:pPr>
        <w:pStyle w:val="Heading2"/>
      </w:pPr>
      <w:r>
        <w:t xml:space="preserve">5. Suivi d'objectifs (Progress Tracker)</w:t>
      </w:r>
    </w:p>
    <w:p>
      <w:pPr>
        <w:pStyle w:val="ListParagraph"/>
        <w:numPr>
          <w:ilvl w:val="0"/>
          <w:numId w:val="6"/>
        </w:numPr>
      </w:pPr>
      <w:r>
        <w:t xml:space="preserve">Trois types d'objectifs : quantitatifs, qualitatifs, habitudes.</w:t>
      </w:r>
    </w:p>
    <w:p>
      <w:pPr>
        <w:pStyle w:val="ListParagraph"/>
        <w:numPr>
          <w:ilvl w:val="0"/>
          <w:numId w:val="6"/>
        </w:numPr>
      </w:pPr>
      <w:r>
        <w:t xml:space="preserve">Suivi automatique, tableau de bord, analyses et visualisations, conseils personnalisés, gamification.</w:t>
      </w:r>
    </w:p>
    <w:p>
      <w:pPr>
        <w:pStyle w:val="Heading2"/>
      </w:pPr>
      <w:r>
        <w:t xml:space="preserve">6. Sécurité (DataShield)</w:t>
      </w:r>
    </w:p>
    <w:p>
      <w:pPr/>
      <w:r>
        <w:t xml:space="preserve">Trois couches : chiffrement, authentification (mot de passe, authentification à deux facteurs, biométrie), détection de menaces avec surveillance en temps réel et niveaux DEFCON (5 niveaux). Comportement de chaque niveau : non spécifié.</w:t>
      </w:r>
    </w:p>
    <w:p>
      <w:pPr>
        <w:pStyle w:val="Heading2"/>
      </w:pPr>
      <w:r>
        <w:t xml:space="preserve">7. Sauvegarde et synchronisation (SyncSphere)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Version V3 :</w:t>
      </w:r>
      <w:r>
        <w:t xml:space="preserve"> local d'abord, fonctionnement hors ligne, sauvegarde locale chiffrée, export et import chiffrés.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Phase 2 et après :</w:t>
      </w:r>
      <w:r>
        <w:t xml:space="preserve"> synchronisation multi-appareils en temps réel avec chiffrement de bout en bout.</w:t>
      </w:r>
    </w:p>
    <w:p>
      <w:pPr>
        <w:pStyle w:val="Heading2"/>
      </w:pPr>
      <w:r>
        <w:t xml:space="preserve">8. Hiérarchie des éditions</w:t>
      </w:r>
    </w:p>
    <w:p>
      <w:pPr/>
      <w:r>
        <w:t xml:space="preserve">L'édition Creator contrôle tout. Les changements se propagent vers Enterprise, puis Premium, puis Standard. Mécanisme exact de propagation : non spécifié.</w:t>
      </w:r>
    </w:p>
    <w:p>
      <w:pPr>
        <w:pStyle w:val="Heading2"/>
      </w:pPr>
      <w:r>
        <w:t xml:space="preserve">9. Points non spécifiés dans le cahier des charges</w:t>
      </w:r>
    </w:p>
    <w:p>
      <w:pPr>
        <w:pStyle w:val="ListParagraph"/>
        <w:numPr>
          <w:ilvl w:val="0"/>
          <w:numId w:val="8"/>
        </w:numPr>
      </w:pPr>
      <w:r>
        <w:t xml:space="preserve">Cartographie des écrans et de la navigation.</w:t>
      </w:r>
    </w:p>
    <w:p>
      <w:pPr>
        <w:pStyle w:val="ListParagraph"/>
        <w:numPr>
          <w:ilvl w:val="0"/>
          <w:numId w:val="8"/>
        </w:numPr>
      </w:pPr>
      <w:r>
        <w:t xml:space="preserve">Contenu des questions de découverte de l'onboarding.</w:t>
      </w:r>
    </w:p>
    <w:p>
      <w:pPr>
        <w:pStyle w:val="ListParagraph"/>
        <w:numPr>
          <w:ilvl w:val="0"/>
          <w:numId w:val="8"/>
        </w:numPr>
      </w:pPr>
      <w:r>
        <w:t xml:space="preserve">Déclencheurs précis du changement de layout.</w:t>
      </w:r>
    </w:p>
    <w:p>
      <w:pPr>
        <w:pStyle w:val="ListParagraph"/>
        <w:numPr>
          <w:ilvl w:val="0"/>
          <w:numId w:val="8"/>
        </w:numPr>
      </w:pPr>
      <w:r>
        <w:t xml:space="preserve">Parcours d'erreur et cas limites (hors retour arrière cité).</w:t>
      </w:r>
    </w:p>
    <w:p>
      <w:pPr>
        <w:pStyle w:val="ListParagraph"/>
        <w:numPr>
          <w:ilvl w:val="0"/>
          <w:numId w:val="8"/>
        </w:numPr>
      </w:pPr>
      <w:r>
        <w:t xml:space="preserve">Parcours de connexion, de récupération de compte et de déconnexion.</w:t>
      </w:r>
    </w:p>
    <w:p>
      <w:pPr>
        <w:pStyle w:val="ListParagraph"/>
        <w:numPr>
          <w:ilvl w:val="0"/>
          <w:numId w:val="8"/>
        </w:numPr>
      </w:pPr>
      <w:r>
        <w:t xml:space="preserve">Gestion des permissions lors des intégrations externes.</w:t>
      </w:r>
    </w:p>
    <w:p>
      <w:pPr>
        <w:pStyle w:val="ListParagraph"/>
        <w:numPr>
          <w:ilvl w:val="0"/>
          <w:numId w:val="8"/>
        </w:numPr>
      </w:pPr>
      <w:r>
        <w:t xml:space="preserve">Interactions exactes entre les 8 modules en dehors du rôle d'orchestrateur de Jarvis.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GreatOS — Flux de l'application</dc:title>
  <dc:description>Claude Docs node/12cfc756-8956@1 docx-w6</dc:description>
  <cp:revision>1</cp:revision>
</cp:coreProperties>
</file>