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GreatOS — Schéma du backend</w:t>
      </w:r>
    </w:p>
    <w:p>
      <w:pPr/>
      <w:r>
        <w:rPr>
          <w:i/>
        </w:rPr>
        <w:t xml:space="preserve">Source unique : cahier des charges GreatOS, version 1.0 (30 novembre 2025).</w:t>
      </w:r>
    </w:p>
    <w:p>
      <w:pPr/>
      <w:r>
        <w:rPr>
          <w:b/>
        </w:rPr>
        <w:t xml:space="preserve">Règle pour les agents :</w:t>
      </w:r>
      <w:r>
        <w:t xml:space="preserve"> le cahier des charges ne donne qu'un schéma simplifié de la base de données. Les colonnes, types, clés et relations ne sont </w:t>
      </w:r>
      <w:r>
        <w:rPr>
          <w:b/>
        </w:rPr>
        <w:t xml:space="preserve">pas spécifiés</w:t>
      </w:r>
      <w:r>
        <w:t xml:space="preserve"> : ne jamais les inventer. Demander à Carl-William avant de les fixer.</w:t>
      </w:r>
    </w:p>
    <w:p>
      <w:pPr>
        <w:pStyle w:val="Heading2"/>
      </w:pPr>
      <w:r>
        <w:t xml:space="preserve">1. Technologies de données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 de données :</w:t>
      </w:r>
      <w:r>
        <w:t xml:space="preserve"> SQLite en Phase 1, puis PostgreSQL (Phase 2 et après, client-serveur hybride).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Chiffrement de la base :</w:t>
      </w:r>
      <w:r>
        <w:t xml:space="preserve"> SQLCipher.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Cache :</w:t>
      </w:r>
      <w:r>
        <w:t xml:space="preserve"> Redis.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Serveur :</w:t>
      </w:r>
      <w:r>
        <w:t xml:space="preserve"> Python avec FastAPI.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Modèle de langage :</w:t>
      </w:r>
      <w:r>
        <w:t xml:space="preserve"> Ollama avec Llama 3.1.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Mémoire de Jarvis :</w:t>
      </w:r>
      <w:r>
        <w:t xml:space="preserve"> SQLite.</w:t>
      </w:r>
    </w:p>
    <w:p>
      <w:pPr>
        <w:pStyle w:val="Heading2"/>
      </w:pPr>
      <w:r>
        <w:t xml:space="preserve">2. Tables listées dans le cahier des charges</w:t>
      </w:r>
    </w:p>
    <w:p>
      <w:pPr/>
      <w:r>
        <w:t xml:space="preserve">Sept tables, dans le « schéma simplifié »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Colonnes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contexts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goals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workflows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conversations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security_incidents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  <w:tc>
          <w:tcPr>
            <w:tcW w:w="3120" w:type="dxa"/>
          </w:tcPr>
          <w:p>
            <w:pPr/>
            <w:r>
              <w:t xml:space="preserve">non spécifiées</w:t>
            </w:r>
          </w:p>
        </w:tc>
      </w:tr>
    </w:tbl>
    <w:p>
      <w:pPr/>
      <w:r>
        <w:t xml:space="preserve">Le module propriétaire de chaque table n'est pas indiqué.</w:t>
      </w:r>
    </w:p>
    <w:p>
      <w:pPr>
        <w:pStyle w:val="Heading2"/>
      </w:pPr>
      <w:r>
        <w:t xml:space="preserve">3. Données que le cahier des charges mentionne sans table associée</w:t>
      </w:r>
    </w:p>
    <w:p>
      <w:pPr/>
      <w:r>
        <w:t xml:space="preserve">Ces éléments sont cités dans les modules, mais aucune table n'est définie pour eux :</w:t>
      </w:r>
    </w:p>
    <w:p>
      <w:pPr>
        <w:pStyle w:val="ListParagraph"/>
        <w:numPr>
          <w:ilvl w:val="0"/>
          <w:numId w:val="3"/>
        </w:numPr>
      </w:pPr>
      <w:r>
        <w:t xml:space="preserve">Mémoire conversationnelle illimitée de Jarvis.</w:t>
      </w:r>
    </w:p>
    <w:p>
      <w:pPr>
        <w:pStyle w:val="ListParagraph"/>
        <w:numPr>
          <w:ilvl w:val="0"/>
          <w:numId w:val="3"/>
        </w:numPr>
      </w:pPr>
      <w:r>
        <w:t xml:space="preserve">Préférences de l'utilisateur apprises par Core Intellect.</w:t>
      </w:r>
    </w:p>
    <w:p>
      <w:pPr>
        <w:pStyle w:val="ListParagraph"/>
        <w:numPr>
          <w:ilvl w:val="0"/>
          <w:numId w:val="3"/>
        </w:numPr>
      </w:pPr>
      <w:r>
        <w:t xml:space="preserve">Graphe de connaissances de Core Intellect.</w:t>
      </w:r>
    </w:p>
    <w:p>
      <w:pPr>
        <w:pStyle w:val="ListParagraph"/>
        <w:numPr>
          <w:ilvl w:val="0"/>
          <w:numId w:val="3"/>
        </w:numPr>
      </w:pPr>
      <w:r>
        <w:t xml:space="preserve">Types d'objectifs : quantitatifs, qualitatifs, habitudes.</w:t>
      </w:r>
    </w:p>
    <w:p>
      <w:pPr>
        <w:pStyle w:val="ListParagraph"/>
        <w:numPr>
          <w:ilvl w:val="0"/>
          <w:numId w:val="3"/>
        </w:numPr>
      </w:pPr>
      <w:r>
        <w:t xml:space="preserve">Workflows préconfigurés et workflows appris.</w:t>
      </w:r>
    </w:p>
    <w:p>
      <w:pPr>
        <w:pStyle w:val="ListParagraph"/>
        <w:numPr>
          <w:ilvl w:val="0"/>
          <w:numId w:val="3"/>
        </w:numPr>
      </w:pPr>
      <w:r>
        <w:t xml:space="preserve">Sauvegardes chiffrées de SyncSphere.</w:t>
      </w:r>
    </w:p>
    <w:p>
      <w:pPr>
        <w:pStyle w:val="ListParagraph"/>
        <w:numPr>
          <w:ilvl w:val="0"/>
          <w:numId w:val="3"/>
        </w:numPr>
      </w:pPr>
      <w:r>
        <w:t xml:space="preserve">Modèles d'apprentissage automatique (cités comme actifs critiques).</w:t>
      </w:r>
    </w:p>
    <w:p>
      <w:pPr>
        <w:pStyle w:val="ListParagraph"/>
        <w:numPr>
          <w:ilvl w:val="0"/>
          <w:numId w:val="3"/>
        </w:numPr>
      </w:pPr>
      <w:r>
        <w:t xml:space="preserve">Éditions et leur hiérarchie.</w:t>
      </w:r>
    </w:p>
    <w:p>
      <w:pPr>
        <w:pStyle w:val="Heading2"/>
      </w:pPr>
      <w:r>
        <w:t xml:space="preserve">4. Interface de programmation</w:t>
      </w:r>
    </w:p>
    <w:p>
      <w:pPr>
        <w:pStyle w:val="ListParagraph"/>
        <w:numPr>
          <w:ilvl w:val="0"/>
          <w:numId w:val="4"/>
        </w:numPr>
      </w:pPr>
      <w:r>
        <w:t xml:space="preserve">FastAPI est le framework serveur indiqué.</w:t>
      </w:r>
    </w:p>
    <w:p>
      <w:pPr>
        <w:pStyle w:val="ListParagraph"/>
        <w:numPr>
          <w:ilvl w:val="0"/>
          <w:numId w:val="4"/>
        </w:numPr>
      </w:pPr>
      <w:r>
        <w:t xml:space="preserve">Une documentation de l'interface de programmation interne de 15 pages est prévue pour le projet de fin d'études.</w:t>
      </w:r>
    </w:p>
    <w:p>
      <w:pPr>
        <w:pStyle w:val="ListParagraph"/>
        <w:numPr>
          <w:ilvl w:val="0"/>
          <w:numId w:val="4"/>
        </w:numPr>
      </w:pPr>
      <w:r>
        <w:t xml:space="preserve">Une interface de programmation publique est prévue en Phase 4.</w:t>
      </w:r>
    </w:p>
    <w:p>
      <w:pPr>
        <w:pStyle w:val="ListParagraph"/>
        <w:numPr>
          <w:ilvl w:val="0"/>
          <w:numId w:val="4"/>
        </w:numPr>
      </w:pPr>
      <w:r>
        <w:t xml:space="preserve">Points d'accès, schémas de requête et de réponse, authentification de l'interface : </w:t>
      </w:r>
      <w:r>
        <w:rPr>
          <w:b/>
        </w:rPr>
        <w:t xml:space="preserve">non spécifiés</w:t>
      </w:r>
      <w:r>
        <w:t xml:space="preserve">.</w:t>
      </w:r>
    </w:p>
    <w:p>
      <w:pPr>
        <w:pStyle w:val="Heading2"/>
      </w:pPr>
      <w:r>
        <w:t xml:space="preserve">5. Contraintes de sécurité sur les données</w:t>
      </w:r>
    </w:p>
    <w:p>
      <w:pPr>
        <w:pStyle w:val="ListParagraph"/>
        <w:numPr>
          <w:ilvl w:val="0"/>
          <w:numId w:val="5"/>
        </w:numPr>
      </w:pPr>
      <w:r>
        <w:t xml:space="preserve">Chiffrement AES-256-GCM, Transport Layer Security 1.3, chiffrement de bout en bout.</w:t>
      </w:r>
    </w:p>
    <w:p>
      <w:pPr>
        <w:pStyle w:val="ListParagraph"/>
        <w:numPr>
          <w:ilvl w:val="0"/>
          <w:numId w:val="5"/>
        </w:numPr>
      </w:pPr>
      <w:r>
        <w:t xml:space="preserve">Mots de passe : Argon2id.</w:t>
      </w:r>
    </w:p>
    <w:p>
      <w:pPr>
        <w:pStyle w:val="ListParagraph"/>
        <w:numPr>
          <w:ilvl w:val="0"/>
          <w:numId w:val="5"/>
        </w:numPr>
      </w:pPr>
      <w:r>
        <w:t xml:space="preserve">Incidents de sécurité : table security_incidents (contenu non spécifié).</w:t>
      </w:r>
    </w:p>
    <w:p>
      <w:pPr>
        <w:pStyle w:val="ListParagraph"/>
        <w:numPr>
          <w:ilvl w:val="0"/>
          <w:numId w:val="5"/>
        </w:numPr>
      </w:pPr>
      <w:r>
        <w:t xml:space="preserve">V3 : sauvegarde locale chiffrée, export et import chiffrés.</w:t>
      </w:r>
    </w:p>
    <w:p>
      <w:pPr>
        <w:pStyle w:val="Heading2"/>
      </w:pPr>
      <w:r>
        <w:t xml:space="preserve">6. Points non spécifiés dans le cahier des charges</w:t>
      </w:r>
    </w:p>
    <w:p>
      <w:pPr>
        <w:pStyle w:val="ListParagraph"/>
        <w:numPr>
          <w:ilvl w:val="0"/>
          <w:numId w:val="6"/>
        </w:numPr>
      </w:pPr>
      <w:r>
        <w:t xml:space="preserve">Colonnes, types, clés primaires et étrangères, index de chaque table.</w:t>
      </w:r>
    </w:p>
    <w:p>
      <w:pPr>
        <w:pStyle w:val="ListParagraph"/>
        <w:numPr>
          <w:ilvl w:val="0"/>
          <w:numId w:val="6"/>
        </w:numPr>
      </w:pPr>
      <w:r>
        <w:t xml:space="preserve">Relations entre tables.</w:t>
      </w:r>
    </w:p>
    <w:p>
      <w:pPr>
        <w:pStyle w:val="ListParagraph"/>
        <w:numPr>
          <w:ilvl w:val="0"/>
          <w:numId w:val="6"/>
        </w:numPr>
      </w:pPr>
      <w:r>
        <w:t xml:space="preserve">Module propriétaire de chaque table, et contenu de la table events.</w:t>
      </w:r>
    </w:p>
    <w:p>
      <w:pPr>
        <w:pStyle w:val="ListParagraph"/>
        <w:numPr>
          <w:ilvl w:val="0"/>
          <w:numId w:val="6"/>
        </w:numPr>
      </w:pPr>
      <w:r>
        <w:t xml:space="preserve">Stratégie et date de migration de SQLite vers PostgreSQL.</w:t>
      </w:r>
    </w:p>
    <w:p>
      <w:pPr>
        <w:pStyle w:val="ListParagraph"/>
        <w:numPr>
          <w:ilvl w:val="0"/>
          <w:numId w:val="6"/>
        </w:numPr>
      </w:pPr>
      <w:r>
        <w:t xml:space="preserve">Rôle exact de Redis.</w:t>
      </w:r>
    </w:p>
    <w:p>
      <w:pPr>
        <w:pStyle w:val="ListParagraph"/>
        <w:numPr>
          <w:ilvl w:val="0"/>
          <w:numId w:val="6"/>
        </w:numPr>
      </w:pPr>
      <w:r>
        <w:t xml:space="preserve">Schéma du graphe de connaissances.</w:t>
      </w:r>
    </w:p>
    <w:p>
      <w:pPr>
        <w:pStyle w:val="ListParagraph"/>
        <w:numPr>
          <w:ilvl w:val="0"/>
          <w:numId w:val="6"/>
        </w:numPr>
      </w:pPr>
      <w:r>
        <w:t xml:space="preserve">Modèle de données des éditions et de la propagation hiérarchique.</w:t>
      </w:r>
    </w:p>
    <w:p>
      <w:pPr>
        <w:pStyle w:val="ListParagraph"/>
        <w:numPr>
          <w:ilvl w:val="0"/>
          <w:numId w:val="6"/>
        </w:numPr>
      </w:pPr>
      <w:r>
        <w:t xml:space="preserve">Politique de rétention et de suppression des données.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GreatOS — Schéma du backend</dc:title>
  <dc:description>Claude Docs node/1ba36417-b543@1 docx-w6</dc:description>
  <cp:revision>1</cp:revision>
</cp:coreProperties>
</file>