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Modelado dinámico del esfuerzo respiratorio del paciente en respuesta al cambio en el soporte de presión en ventilación mecánica en Matlab y Arduino.</w:t>
      </w:r>
    </w:p>
    <w:p w:rsidR="00000000" w:rsidDel="00000000" w:rsidP="00000000" w:rsidRDefault="00000000" w:rsidRPr="00000000">
      <w:pPr>
        <w:pBd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 Alarcon</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V. Santofimio</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A. M. Torres</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E. S. Ramírez</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D. Hernandez</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J. S. Mena</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Ingeniería Mecatrónica, Facultad de ingeniería,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 </w:t>
      </w:r>
      <w:r w:rsidDel="00000000" w:rsidR="00000000" w:rsidRPr="00000000">
        <w:rPr>
          <w:rFonts w:ascii="Times New Roman" w:cs="Times New Roman" w:eastAsia="Times New Roman" w:hAnsi="Times New Roman"/>
          <w:sz w:val="20"/>
          <w:szCs w:val="20"/>
          <w:rtl w:val="0"/>
        </w:rPr>
        <w:t xml:space="preserve">Ingeniería Biomédica</w:t>
      </w:r>
      <w:r w:rsidDel="00000000" w:rsidR="00000000" w:rsidRPr="00000000">
        <w:rPr>
          <w:rFonts w:ascii="Times New Roman" w:cs="Times New Roman" w:eastAsia="Times New Roman" w:hAnsi="Times New Roman"/>
          <w:sz w:val="20"/>
          <w:szCs w:val="20"/>
          <w:rtl w:val="0"/>
        </w:rPr>
        <w:t xml:space="preserve">, Facultad de ingeniería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Ingeniería Biomédica, Facultad de ingeniería,</w:t>
      </w:r>
      <w:r w:rsidDel="00000000" w:rsidR="00000000" w:rsidRPr="00000000">
        <w:rPr>
          <w:rFonts w:ascii="Times New Roman" w:cs="Times New Roman" w:eastAsia="Times New Roman" w:hAnsi="Times New Roman"/>
          <w:sz w:val="20"/>
          <w:szCs w:val="20"/>
          <w:rtl w:val="0"/>
        </w:rPr>
        <w:t xml:space="preserve">,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4 </w:t>
      </w:r>
      <w:r w:rsidDel="00000000" w:rsidR="00000000" w:rsidRPr="00000000">
        <w:rPr>
          <w:rFonts w:ascii="Times New Roman" w:cs="Times New Roman" w:eastAsia="Times New Roman" w:hAnsi="Times New Roman"/>
          <w:sz w:val="20"/>
          <w:szCs w:val="20"/>
          <w:rtl w:val="0"/>
        </w:rPr>
        <w:t xml:space="preserve">Ingeniería Biomédica, Facultad de ingeniería</w:t>
      </w:r>
      <w:r w:rsidDel="00000000" w:rsidR="00000000" w:rsidRPr="00000000">
        <w:rPr>
          <w:rFonts w:ascii="Times New Roman" w:cs="Times New Roman" w:eastAsia="Times New Roman" w:hAnsi="Times New Roman"/>
          <w:sz w:val="20"/>
          <w:szCs w:val="20"/>
          <w:rtl w:val="0"/>
        </w:rPr>
        <w:t xml:space="preserve">,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5 </w:t>
      </w:r>
      <w:r w:rsidDel="00000000" w:rsidR="00000000" w:rsidRPr="00000000">
        <w:rPr>
          <w:rFonts w:ascii="Times New Roman" w:cs="Times New Roman" w:eastAsia="Times New Roman" w:hAnsi="Times New Roman"/>
          <w:sz w:val="20"/>
          <w:szCs w:val="20"/>
          <w:rtl w:val="0"/>
        </w:rPr>
        <w:t xml:space="preserve">Ingeniería Biomédica, Facultad de ingeniería,</w:t>
      </w:r>
      <w:r w:rsidDel="00000000" w:rsidR="00000000" w:rsidRPr="00000000">
        <w:rPr>
          <w:rFonts w:ascii="Times New Roman" w:cs="Times New Roman" w:eastAsia="Times New Roman" w:hAnsi="Times New Roman"/>
          <w:sz w:val="20"/>
          <w:szCs w:val="20"/>
          <w:rtl w:val="0"/>
        </w:rPr>
        <w:t xml:space="preserve">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6, </w:t>
      </w:r>
      <w:r w:rsidDel="00000000" w:rsidR="00000000" w:rsidRPr="00000000">
        <w:rPr>
          <w:rFonts w:ascii="Times New Roman" w:cs="Times New Roman" w:eastAsia="Times New Roman" w:hAnsi="Times New Roman"/>
          <w:sz w:val="20"/>
          <w:szCs w:val="20"/>
          <w:rtl w:val="0"/>
        </w:rPr>
        <w:t xml:space="preserve">Ingeniería Mecatrónica, Facultad de ingeniería,</w:t>
      </w:r>
      <w:r w:rsidDel="00000000" w:rsidR="00000000" w:rsidRPr="00000000">
        <w:rPr>
          <w:rFonts w:ascii="Times New Roman" w:cs="Times New Roman" w:eastAsia="Times New Roman" w:hAnsi="Times New Roman"/>
          <w:sz w:val="20"/>
          <w:szCs w:val="20"/>
          <w:rtl w:val="0"/>
        </w:rPr>
        <w:t xml:space="preserve"> Universidad Autónoma de Occidente, Autopista Cali Jamundí #Cll 25, Cali  Colombia</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Recibido: Julio 04 de 2017</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5676900" cy="9525"/>
            <wp:effectExtent b="0" l="0" r="0" t="0"/>
            <wp:docPr id="16" name="image36.png"/>
            <a:graphic>
              <a:graphicData uri="http://schemas.openxmlformats.org/drawingml/2006/picture">
                <pic:pic>
                  <pic:nvPicPr>
                    <pic:cNvPr id="0" name="image36.png"/>
                    <pic:cNvPicPr preferRelativeResize="0"/>
                  </pic:nvPicPr>
                  <pic:blipFill>
                    <a:blip r:embed="rId5"/>
                    <a:srcRect b="0" l="0" r="0" t="0"/>
                    <a:stretch>
                      <a:fillRect/>
                    </a:stretch>
                  </pic:blipFill>
                  <pic:spPr>
                    <a:xfrm>
                      <a:off x="0" y="0"/>
                      <a:ext cx="5676900"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before="120" w:lineRule="auto"/>
        <w:ind w:right="48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Resumen</w:t>
      </w:r>
    </w:p>
    <w:p w:rsidR="00000000" w:rsidDel="00000000" w:rsidP="00000000" w:rsidRDefault="00000000" w:rsidRPr="00000000">
      <w:pPr>
        <w:pBdr/>
        <w:spacing w:after="60" w:lineRule="auto"/>
        <w:ind w:right="4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presente trabajo, se analiza la función transferencia en términos de s, es decir transformada de Laplace, del sistema ventilador-paciente, donde se tiene como señal de entrada el nivel de soporte de presión (PSV) del ventilador y la salida es el trabajo mecánico de respiración del paciente por minuto, o la potencia de respiración (PO B). planteado en </w:t>
      </w:r>
      <w:r w:rsidDel="00000000" w:rsidR="00000000" w:rsidRPr="00000000">
        <w:rPr>
          <w:rFonts w:ascii="Times New Roman" w:cs="Times New Roman" w:eastAsia="Times New Roman" w:hAnsi="Times New Roman"/>
          <w:color w:val="212121"/>
          <w:sz w:val="20"/>
          <w:szCs w:val="20"/>
          <w:rtl w:val="0"/>
        </w:rPr>
        <w:t xml:space="preserve">la Conferencia Internacional de Ingeniería Biomédica 2015. En dicho análisis se </w:t>
      </w:r>
      <w:r w:rsidDel="00000000" w:rsidR="00000000" w:rsidRPr="00000000">
        <w:rPr>
          <w:rFonts w:ascii="Times New Roman" w:cs="Times New Roman" w:eastAsia="Times New Roman" w:hAnsi="Times New Roman"/>
          <w:sz w:val="20"/>
          <w:szCs w:val="20"/>
          <w:rtl w:val="0"/>
        </w:rPr>
        <w:t xml:space="preserve">Calculó la respuesta temporal en forma general para la caracterización del sistema dado, luego se discretizó el sistema y se halló su respectiva función de transferencia en Z, con ella se calculó la función en tiempo discreto,  posteriormente se analizó la estabilidad del sistema tanto en continuo como en discreto, para luego hacer la simulación en Matlab y Arduino.</w:t>
      </w:r>
    </w:p>
    <w:p w:rsidR="00000000" w:rsidDel="00000000" w:rsidP="00000000" w:rsidRDefault="00000000" w:rsidRPr="00000000">
      <w:pPr>
        <w:pBdr/>
        <w:spacing w:after="60" w:lineRule="auto"/>
        <w:ind w:right="480"/>
        <w:contextualSpacing w:val="0"/>
        <w:jc w:val="center"/>
        <w:rPr>
          <w:rFonts w:ascii="Times New Roman" w:cs="Times New Roman" w:eastAsia="Times New Roman" w:hAnsi="Times New Roman"/>
          <w:sz w:val="20"/>
          <w:szCs w:val="20"/>
        </w:rPr>
        <w:sectPr>
          <w:headerReference r:id="rId6" w:type="default"/>
          <w:pgSz w:h="16834" w:w="11909"/>
          <w:pgMar w:bottom="1440" w:top="1440" w:left="1440" w:right="1440" w:header="0"/>
          <w:pgNumType w:start="1"/>
        </w:sectPr>
      </w:pPr>
      <w:r w:rsidDel="00000000" w:rsidR="00000000" w:rsidRPr="00000000">
        <w:rPr>
          <w:rFonts w:ascii="Times New Roman" w:cs="Times New Roman" w:eastAsia="Times New Roman" w:hAnsi="Times New Roman"/>
          <w:b w:val="1"/>
          <w:sz w:val="20"/>
          <w:szCs w:val="20"/>
          <w:rtl w:val="0"/>
        </w:rPr>
        <w:t xml:space="preserve">Palabras claves: </w:t>
      </w:r>
      <w:r w:rsidDel="00000000" w:rsidR="00000000" w:rsidRPr="00000000">
        <w:rPr>
          <w:rFonts w:ascii="Times New Roman" w:cs="Times New Roman" w:eastAsia="Times New Roman" w:hAnsi="Times New Roman"/>
          <w:sz w:val="20"/>
          <w:szCs w:val="20"/>
          <w:rtl w:val="0"/>
        </w:rPr>
        <w:t xml:space="preserve">Ventilador mecánico; Trabajo de respiración; Control respiratorio; Potencia respiratoria.</w:t>
        <w:br w:type="textWrapping"/>
      </w:r>
      <w:r w:rsidDel="00000000" w:rsidR="00000000" w:rsidRPr="00000000">
        <w:drawing>
          <wp:inline distB="114300" distT="114300" distL="114300" distR="114300">
            <wp:extent cx="5676900" cy="9525"/>
            <wp:effectExtent b="0" l="0" r="0" t="0"/>
            <wp:docPr id="2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676900"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INTRODUCCIÓN</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fin de mejorar la condición de vida de pacientes con insuficiencia respiratoria, se creó un recurso terapéutico que contribuye a mejorar sus vidas, esta es la ventilación mecánica, consiste en asistir mecánicamente la ventilación pulmonar, para ayudar al pulmón a mejorar y evitar daños adicionales al sistema respiratorio.</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estudios, el 24% de los pacientes ventilados mecánicamente desarrollan problemas como la dependencia de estos mecanismos, entre otras cosas por las lesiones pulmonares que estos mecanismos generan. Para ello, se han desarrollado distintas soluciones para evitar estos inconvenientes, entre ellas está adaptar el sistema de ventilación según las necesidades de los pacientes, para ello, se debe analizar cuánto cambiará el esfuerzo del paciente para un nivel de PSV y Cuánto tiempo tarda el paciente en ajustarse al nuevo nivel de PSV. Siendo esta la razón por la cual se debe prestar atención, a factores externo; a la configuración demográfica (edad, sexo, peso y la raza) factores de los que depende el nivel de fuerza de los músculos respiratorios y la sensibilidad de los quimiorreceptores en cada paciente; a los factores fisiopatológicos (nivel de conciencia, tipo de enfermedad y nivel del medicamento aplicado al paciente).</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práctica, estudiamos las respuestas de 5 pacientes con diferentes condiciones médicas. Para ello se ajustó un modelo de primer orden, haciendo uso de la función de transferencia presentado en la guía, teniendo como objetivos discretizar el sistema, hallar las funciones en tiempo continuo y discreto asociadas a la misma, estudia su estabilidad, y, posteriormente simuladas en Matlab y Arduino, donde se aprecia su comportamiento y se comparan.</w:t>
      </w:r>
    </w:p>
    <w:p w:rsidR="00000000" w:rsidDel="00000000" w:rsidP="00000000" w:rsidRDefault="00000000" w:rsidRPr="00000000">
      <w:pPr>
        <w:pBdr/>
        <w:spacing w:after="120" w:line="276"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MODELO TEÓRICO</w:t>
      </w:r>
    </w:p>
    <w:p w:rsidR="00000000" w:rsidDel="00000000" w:rsidP="00000000" w:rsidRDefault="00000000" w:rsidRPr="00000000">
      <w:pPr>
        <w:numPr>
          <w:ilvl w:val="0"/>
          <w:numId w:val="5"/>
        </w:numPr>
        <w:pBdr/>
        <w:spacing w:after="120" w:line="276" w:lineRule="auto"/>
        <w:ind w:left="405"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Región de convergencia para las transformadas de Laplace.</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 pocas palabras, se dice que la función en términos de s, converge cuando el/los polos de la función(es) pertenecen al segundo o tercer cuadrante del plano S, es decir que la parte real de dicho polo es menor a cero, como se muestra en la siguiente figura</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b w:val="1"/>
          <w:sz w:val="20"/>
          <w:szCs w:val="20"/>
        </w:rPr>
      </w:pPr>
      <w:r w:rsidDel="00000000" w:rsidR="00000000" w:rsidRPr="00000000">
        <w:drawing>
          <wp:inline distB="114300" distT="114300" distL="114300" distR="114300">
            <wp:extent cx="2290763" cy="2371140"/>
            <wp:effectExtent b="0" l="0" r="0" t="0"/>
            <wp:docPr id="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290763" cy="237114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276"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MODELO TEÓRICO</w:t>
      </w:r>
    </w:p>
    <w:p w:rsidR="00000000" w:rsidDel="00000000" w:rsidP="00000000" w:rsidRDefault="00000000" w:rsidRPr="00000000">
      <w:pPr>
        <w:numPr>
          <w:ilvl w:val="0"/>
          <w:numId w:val="5"/>
        </w:numPr>
        <w:pBdr/>
        <w:spacing w:after="120" w:line="276" w:lineRule="auto"/>
        <w:ind w:left="405"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Transformada inversa de Laplace.</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 en pasar una función que está en términos de s, o la frecuencia a una función de tiempo continuo. Está dado por:</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b w:val="1"/>
          <w:sz w:val="20"/>
          <w:szCs w:val="20"/>
        </w:rPr>
      </w:pPr>
      <w:r w:rsidDel="00000000" w:rsidR="00000000" w:rsidRPr="00000000">
        <w:drawing>
          <wp:inline distB="114300" distT="114300" distL="114300" distR="114300">
            <wp:extent cx="2638425" cy="393700"/>
            <wp:effectExtent b="0" l="0" r="0" t="0"/>
            <wp:docPr id="1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2638425" cy="393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after="120" w:line="276"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Discretización de una señal continua.</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método fácil y rápido para discretizar una señal es hacer uso del teorema de muestreo. Existen muchas maneras de muestrear una señal, la más común es el muestreo periódico o uniforme. Este proceso se describe mediante la relación </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279400"/>
            <wp:effectExtent b="0" l="0" r="0" t="0"/>
            <wp:docPr id="6"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638425" cy="279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x(n) es la señal en tiempo discreto obtenida tomando muestras de la señal analógica Xa(t) cada T segundos. Este proceso se ilustra en la Figura 2. El intervalo de tiempo T entre dos muestras sucesivas se denomina periodo de muestreo o intervalo de muestreo, y su recíproco (1/T = Fs ) se llama velocidad de muestreo (muestras por segundo) o frecuencia de muestreo (Hertz). </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1562100"/>
            <wp:effectExtent b="0" l="0" r="0" t="0"/>
            <wp:docPr id="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2638425" cy="1562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spacing w:after="120" w:line="276"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Región de convergencia de la transformada Z.</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función en términos de Z, converge si y sólo si su(s) polo(S), están dentro del círculo unitario es decir |Z|=r &lt;1.</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tl w:val="0"/>
        </w:rPr>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14"/>
          <w:szCs w:val="14"/>
        </w:rPr>
      </w:pPr>
      <w:r w:rsidDel="00000000" w:rsidR="00000000" w:rsidRPr="00000000">
        <w:drawing>
          <wp:inline distB="114300" distT="114300" distL="114300" distR="114300">
            <wp:extent cx="2019300" cy="1914525"/>
            <wp:effectExtent b="0" l="0" r="0" t="0"/>
            <wp:docPr id="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2019300" cy="1914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pBdr/>
        <w:spacing w:after="120" w:line="276"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Transformada inversa de Z.</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esta herramienta se obtiene una función en tiempo discreto a partir de una función en términos de z. Está dada por la siguiente fórmula:</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368300"/>
            <wp:effectExtent b="0" l="0" r="0" t="0"/>
            <wp:docPr id="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638425" cy="368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Cabe aclarar que |z|=r&lt;1.</w:t>
      </w:r>
    </w:p>
    <w:p w:rsidR="00000000" w:rsidDel="00000000" w:rsidP="00000000" w:rsidRDefault="00000000" w:rsidRPr="00000000">
      <w:pPr>
        <w:pBdr/>
        <w:spacing w:after="120" w:line="276"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transformada inversa de Laplace como para la transformada inversa Z, se cuentan con tablas que agilizan el proceso, porque evita hacer el proceso haciendo uso de la definición, pues ya alguien más las calculó dejándolas preestablecidas.</w:t>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MODELO EXPERIMENTAL</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del modelo de función de transferencia suministrado por el documento guía, es decir: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1352550" cy="704850"/>
            <wp:effectExtent b="0" l="0" r="0" t="0"/>
            <wp:docPr id="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352550" cy="704850"/>
                    </a:xfrm>
                    <a:prstGeom prst="rect"/>
                    <a:ln/>
                  </pic:spPr>
                </pic:pic>
              </a:graphicData>
            </a:graphic>
          </wp:inline>
        </w:drawing>
      </w:r>
      <w:r w:rsidDel="00000000" w:rsidR="00000000" w:rsidRPr="00000000">
        <w:rPr>
          <w:rtl w:val="0"/>
        </w:rPr>
        <w:t xml:space="preserve">          (4 )</w:t>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haciendo uso de las herramientas Matlab y Arduino, se consigue cumplir con los objetivos, de forma fácil y práctica, ya que dichas herramientas de programación contienen comandos que crean la función de transferencia, y, discretiza la señal.</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siguientes ecuaciones corresponde a la función en el dominio del tiempo continuo, tiempo discreto y función de transferencia en términos de Z, respectivamente, correspondiente a la ecuación (4).</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355600"/>
            <wp:effectExtent b="0" l="0" r="0" t="0"/>
            <wp:docPr id="1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2638425" cy="355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la ecuación anterior se observa que al pasar mucho tiempo, el sistema se estabiliza en k; también, se calcula la función en tiempo discreto, a partir de la herramienta muestreo, donde se cambia la t de la función, por nT, donde T corresponde a un parámetro.</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431800"/>
            <wp:effectExtent b="0" l="0" r="0" t="0"/>
            <wp:docPr id="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638425" cy="43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transferencia del sistema en términos de Z, se calcula a partir de la función de transferencia en términos de s. donde:</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842963" cy="582789"/>
            <wp:effectExtent b="0" l="0" r="0" t="0"/>
            <wp:docPr id="13"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842963" cy="582789"/>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drawing>
          <wp:inline distB="114300" distT="114300" distL="114300" distR="114300">
            <wp:extent cx="2638425" cy="584200"/>
            <wp:effectExtent b="0" l="0" r="0" t="0"/>
            <wp:docPr id="1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2638425" cy="584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2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Comandos de la herramienta Matlab.            </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tf; define la función de transferencia para cada paciente.</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grafica la respuesta al impulso de cada función de transferencia.                       </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c2d; discretización de cada función usando el modo foh.                        </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T/10,  presente en la discretización corresponde a la frecuencia de muestreo..</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4"/>
        </w:numPr>
        <w:pBdr/>
        <w:spacing w:after="120" w:lineRule="auto"/>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Comandos de la herramienta Arduino.</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graficar en arduino, primero se calculó la función en tiempo discreto, función que se gráfico de acuerdo a los parámetros de cada paciente.</w:t>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 Y ANÁLISIS</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 en Matlab.</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 letra K, corresponde al nivel de soporte de presión (PSV) en el ventilador. </w:t>
        <w:br w:type="textWrapping"/>
        <w:t xml:space="preserve">k1 = -0.90; k2 = -0.90; k3 = -0.87;</w:t>
        <w:br w:type="textWrapping"/>
        <w:t xml:space="preserve">k4 = -1.02; k5 = -0.81;</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corresponde a la constante de tiempo para cada paciente.</w:t>
        <w:br w:type="textWrapping"/>
        <w:t xml:space="preserve">T1 = 33.3; T2 = 27.7; T3 = 491;</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T4 = 50.6; T5 = 203.5;</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Cabe aclarar que tanto k como T van de 1 a 5, porque se analizaron 5 pacientes, y los valores asignados corresponden a la tabla 1.</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Tabla 1.</w:t>
      </w:r>
      <w:r w:rsidDel="00000000" w:rsidR="00000000" w:rsidRPr="00000000">
        <w:rPr>
          <w:rFonts w:ascii="Times New Roman" w:cs="Times New Roman" w:eastAsia="Times New Roman" w:hAnsi="Times New Roman"/>
          <w:sz w:val="20"/>
          <w:szCs w:val="20"/>
          <w:rtl w:val="0"/>
        </w:rPr>
        <w:t xml:space="preserve">Parámetros de los sistemas identificados.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638425" cy="1778000"/>
            <wp:effectExtent b="0" l="0" r="0" t="0"/>
            <wp:docPr id="1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2638425" cy="177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 Se refiere a la función de transferencia, y está dada mediante la expresión:</w:t>
        <w:br w:type="textWrapping"/>
        <w:t xml:space="preserve">G1 = tf(k1,[T1 1]); ...G5 = tf(k5,[T5 1]);</w:t>
        <w:br w:type="textWrapping"/>
        <w:t xml:space="preserve">Así con todos los pacientes, luego se grafican los escalones obtenidos con cada función de transferencia,  y dichas curvas se distinguen por su nombre.</w:t>
        <w:br w:type="textWrapping"/>
        <w:t xml:space="preserve">hold on</w:t>
        <w:br w:type="textWrapping"/>
        <w:t xml:space="preserve">step(G1) ...step(G1)</w:t>
        <w:br w:type="textWrapping"/>
        <w:t xml:space="preserve">grid on</w:t>
        <w:br w:type="textWrapping"/>
        <w:t xml:space="preserve">legend('G1','G2','G3','G4','G5')</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finalmente se discretiza cada señal col metodo “foh” y se grafica.</w:t>
        <w:br w:type="textWrapping"/>
        <w:t xml:space="preserve">figure</w:t>
        <w:br w:type="textWrapping"/>
        <w:t xml:space="preserve">G_d1 = c2d (G1, T1/10, 'foh');...</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G_d5 = c2d (G5, T5/10, 'foh');</w:t>
        <w:br w:type="textWrapping"/>
        <w:t xml:space="preserve">hold on</w:t>
        <w:br w:type="textWrapping"/>
        <w:t xml:space="preserve">step (G_d1)... step (G_d5)</w:t>
        <w:br w:type="textWrapping"/>
        <w:t xml:space="preserve">grid on</w:t>
        <w:br w:type="textWrapping"/>
        <w:t xml:space="preserve">legend('G1d','G2d','G3d','G4d','G5d')</w:t>
        <w:br w:type="textWrapping"/>
        <w:br w:type="textWrapping"/>
        <w:t xml:space="preserve">figure</w:t>
        <w:br w:type="textWrapping"/>
        <w:t xml:space="preserve">hold on</w:t>
        <w:br w:type="textWrapping"/>
        <w:t xml:space="preserve">pzmap(G1)... pzmap(G5)</w:t>
        <w:br w:type="textWrapping"/>
        <w:t xml:space="preserve">grid on</w:t>
        <w:br w:type="textWrapping"/>
        <w:br w:type="textWrapping"/>
        <w:t xml:space="preserve">figure</w:t>
        <w:br w:type="textWrapping"/>
        <w:t xml:space="preserve">hold on</w:t>
        <w:br w:type="textWrapping"/>
        <w:t xml:space="preserve">pzmap(G_d1) ...  pzmap(G_d5)</w:t>
        <w:br w:type="textWrapping"/>
        <w:t xml:space="preserve">grid on</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Las curvas obtenidas mediante el algoritmo anterior se muestran en la siguiente gráfica:</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Gráfica 1.</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drawing>
          <wp:inline distB="114300" distT="114300" distL="114300" distR="114300">
            <wp:extent cx="2577789" cy="1938338"/>
            <wp:effectExtent b="0" l="0" r="0" t="0"/>
            <wp:docPr id="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577789" cy="19383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 la anterior gráfica se ve que a lo largo del tiempo, el trabajo realizado por el paciente al respirar, decrece; todas se estabilizan en puntos diferentes, lo que da a entender que cada persona necesita un trato especial. La estabilidad de logra gracias a que sus polos se encuentran en la parte de los reales negativos del plano S, como se muestra en la siguiente gráfica.</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Gráfica 2.</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drawing>
          <wp:inline distB="114300" distT="114300" distL="114300" distR="114300">
            <wp:extent cx="2638425" cy="1981200"/>
            <wp:effectExtent b="0" l="0" r="0" t="0"/>
            <wp:docPr id="1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638425" cy="1981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Las señales discretizadas se presentan en la gráfica 3, allí se observa que tienen el mismo comportamiento que las funciones continuas, es decir que decrece al mismo ritmo y se estabiliza en el mismo punto, donde se había estabilizado dicho paciente.</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Gráfica 3.</w:t>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drawing>
          <wp:inline distB="114300" distT="114300" distL="114300" distR="114300">
            <wp:extent cx="2638425" cy="2019300"/>
            <wp:effectExtent b="0" l="0" r="0" t="0"/>
            <wp:docPr id="18"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2638425" cy="2019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Los polos de la función de transferencia en términos de Z, se encuentran dentro del círculo unitario, por ello se estabiliza como si observó anteriormente.</w:t>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Gráfica 4.</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highlight w:val="white"/>
        </w:rPr>
      </w:pPr>
      <w:r w:rsidDel="00000000" w:rsidR="00000000" w:rsidRPr="00000000">
        <w:drawing>
          <wp:inline distB="114300" distT="114300" distL="114300" distR="114300">
            <wp:extent cx="2638425" cy="1993900"/>
            <wp:effectExtent b="0" l="0" r="0" t="0"/>
            <wp:docPr id="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2638425" cy="1993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rPr>
          <w:rFonts w:ascii="Times New Roman" w:cs="Times New Roman" w:eastAsia="Times New Roman" w:hAnsi="Times New Roman"/>
          <w:sz w:val="20"/>
          <w:szCs w:val="20"/>
          <w:highlight w:val="white"/>
          <w:rtl w:val="0"/>
        </w:rPr>
        <w:t xml:space="preserve">Con</w:t>
      </w:r>
      <w:r w:rsidDel="00000000" w:rsidR="00000000" w:rsidRPr="00000000">
        <w:rPr>
          <w:rFonts w:ascii="Calibri" w:cs="Calibri" w:eastAsia="Calibri" w:hAnsi="Calibri"/>
          <w:highlight w:val="white"/>
          <w:rtl w:val="0"/>
        </w:rPr>
        <w:t xml:space="preserve"> el sistema emulado en arduino,  se obtuvo lo que presenta la Gráfica 5. Para llegar a ello, fue necesario hacer un código similar al anteriormente expuesto, con la diferencia de que se usan comandos propios de arduino, que en últimas hace lo mismo que Matlab.</w:t>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Gráfica 5.</w:t>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drawing>
          <wp:inline distB="114300" distT="114300" distL="114300" distR="114300">
            <wp:extent cx="2638425" cy="1320800"/>
            <wp:effectExtent b="0" l="0" r="0" t="0"/>
            <wp:docPr id="19"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2638425" cy="132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CONCLUSIONES</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herramientas Matlab y Arduino traen incorporados comandos que permiten el cálculo de la función en tiempo discreto, y la función de transferencia, siendo Matlab más práctico que arduino en términos de programación.</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Queda probado que es viable implementar un sistema mecánico de ventilación para los pacientes con problemas respiratorios, con retroalimentación, es decir que se ajuste a la necesidad de cada paciente.</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puede ser controlado por diversos elementos, desde un ordenador hasta un microcontrolador, por la sencillez del modelo (de primer orden), como la implementación en diversos sistemas de operativos y de programación.</w:t>
      </w:r>
    </w:p>
    <w:p w:rsidR="00000000" w:rsidDel="00000000" w:rsidP="00000000" w:rsidRDefault="00000000" w:rsidRPr="00000000">
      <w:pPr>
        <w:pBdr/>
        <w:spacing w:after="12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la función en tiempo discreto se estabiliza, al discretizar la señal, también se estabiliza, es decir que si los polos en continua se encuentran en la parte real negativa, los polos, en términos de Z, se encuentran dentro del círculo unitario.</w:t>
      </w:r>
    </w:p>
    <w:p w:rsidR="00000000" w:rsidDel="00000000" w:rsidP="00000000" w:rsidRDefault="00000000" w:rsidRPr="00000000">
      <w:pPr>
        <w:pBd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REFERENCIAS</w:t>
      </w:r>
    </w:p>
    <w:p w:rsidR="00000000" w:rsidDel="00000000" w:rsidP="00000000" w:rsidRDefault="00000000" w:rsidRPr="00000000">
      <w:pPr>
        <w:pBd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numPr>
          <w:ilvl w:val="0"/>
          <w:numId w:val="2"/>
        </w:numPr>
        <w:pBdr/>
        <w:ind w:left="255" w:hanging="285"/>
        <w:contextualSpacing w:val="1"/>
        <w:jc w:val="both"/>
        <w:rPr>
          <w:sz w:val="20"/>
          <w:szCs w:val="20"/>
        </w:rPr>
      </w:pPr>
      <w:r w:rsidDel="00000000" w:rsidR="00000000" w:rsidRPr="00000000">
        <w:rPr>
          <w:rFonts w:ascii="Times New Roman" w:cs="Times New Roman" w:eastAsia="Times New Roman" w:hAnsi="Times New Roman"/>
          <w:sz w:val="20"/>
          <w:szCs w:val="20"/>
          <w:rtl w:val="0"/>
        </w:rPr>
        <w:t xml:space="preserve">SHARIFI, Reza; CHBAT Nicolas. Dynamic modeling of patient breathing effort in response to change in pressure support in mechanical ventilation. Philips Research North America, Cambridge MA. BMEiCON-2015. 2015. 112-229. </w:t>
      </w:r>
      <w:r w:rsidDel="00000000" w:rsidR="00000000" w:rsidRPr="00000000">
        <w:rPr>
          <w:rFonts w:ascii="Times New Roman" w:cs="Times New Roman" w:eastAsia="Times New Roman" w:hAnsi="Times New Roman"/>
          <w:i w:val="1"/>
          <w:sz w:val="20"/>
          <w:szCs w:val="20"/>
          <w:rtl w:val="0"/>
        </w:rPr>
        <w:t xml:space="preserve">978-1-4673-9158-0/15/$31.00 </w:t>
      </w:r>
      <w:r w:rsidDel="00000000" w:rsidR="00000000" w:rsidRPr="00000000">
        <w:rPr>
          <w:rFonts w:ascii="Times New Roman" w:cs="Times New Roman" w:eastAsia="Times New Roman" w:hAnsi="Times New Roman"/>
          <w:sz w:val="20"/>
          <w:szCs w:val="20"/>
          <w:rtl w:val="0"/>
        </w:rPr>
        <w:t xml:space="preserve">©20 15 IEEE.</w:t>
      </w:r>
    </w:p>
    <w:p w:rsidR="00000000" w:rsidDel="00000000" w:rsidP="00000000" w:rsidRDefault="00000000" w:rsidRPr="00000000">
      <w:pPr>
        <w:numPr>
          <w:ilvl w:val="0"/>
          <w:numId w:val="2"/>
        </w:numPr>
        <w:pBdr/>
        <w:ind w:left="255" w:hanging="285"/>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GUTIERREZ, Fernando. Ventilación mecanica [En línea] [Consultado el 28 de Junio de 2017]  Disponible en: http://sisbib.unmsm.edu.pe/BVRevistas/acta_medica/2011_n2/pdf/a06v28n2.pdf</w:t>
      </w:r>
    </w:p>
    <w:p w:rsidR="00000000" w:rsidDel="00000000" w:rsidP="00000000" w:rsidRDefault="00000000" w:rsidRPr="00000000">
      <w:pPr>
        <w:numPr>
          <w:ilvl w:val="0"/>
          <w:numId w:val="2"/>
        </w:numPr>
        <w:pBdr/>
        <w:ind w:left="255" w:hanging="285"/>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SANCHEZ, Giovanni. Aplicación del modelo RC en sistemas biológicos (mecánica ventilatoria) [En línea] [Consultado el 25 de Junio de 2017]  Disponible en: http://biblioteca.uniminuto.edu/ojs/index.php/Inventum/article/viewFile/3/3</w:t>
      </w:r>
    </w:p>
    <w:p w:rsidR="00000000" w:rsidDel="00000000" w:rsidP="00000000" w:rsidRDefault="00000000" w:rsidRPr="00000000">
      <w:pPr>
        <w:numPr>
          <w:ilvl w:val="0"/>
          <w:numId w:val="2"/>
        </w:numPr>
        <w:pBdr/>
        <w:ind w:left="255" w:hanging="285"/>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Villalobos, José Antonio, Montes, Marco A, Camacho, Luis Agustin Carlos. Ventilación mecánica en pacientes con cardiopatía aguda [En línea] [Consultado el 29 de Junio de 2017] Disponible en: http://www.medigraphic.com/pdfs/cardio/h-2011/h112f.pdf</w:t>
      </w:r>
    </w:p>
    <w:p w:rsidR="00000000" w:rsidDel="00000000" w:rsidP="00000000" w:rsidRDefault="00000000" w:rsidRPr="00000000">
      <w:pPr>
        <w:numPr>
          <w:ilvl w:val="0"/>
          <w:numId w:val="2"/>
        </w:numPr>
        <w:pBdr/>
        <w:ind w:left="255" w:hanging="285"/>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consensus conferences in intensive care medicine: Ventilator-associated Lung Injury in ARDS. This official conference report was cosponsored by the American Thoracic Society, The European Society of Intensive Care Medicine, and The Societe de Reanimation de Langue Fran .. aise, and was approved by the A TS Board of Directors. Am J Respir Crit Care Med 1999; 160:2118, July 1999.</w:t>
      </w:r>
    </w:p>
    <w:p w:rsidR="00000000" w:rsidDel="00000000" w:rsidP="00000000" w:rsidRDefault="00000000" w:rsidRPr="00000000">
      <w:pPr>
        <w:numPr>
          <w:ilvl w:val="0"/>
          <w:numId w:val="2"/>
        </w:numPr>
        <w:pBdr/>
        <w:ind w:left="255" w:hanging="285"/>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Alan V. Oppenheim. Señales y sistemas. Prentice Hall Hispanoamericana, S.A. 2d Edición. México. 1998. Pág. 654-757. ISBN 970-1710116-x</w:t>
      </w:r>
    </w:p>
    <w:sectPr>
      <w:type w:val="continuous"/>
      <w:pgSz w:h="16834" w:w="11909"/>
      <w:pgMar w:bottom="1440" w:top="1440" w:left="1440" w:right="1440" w:header="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AUTÓNOMA DE OCCIDENTE</w:t>
    </w:r>
    <w:r w:rsidDel="00000000" w:rsidR="00000000" w:rsidRPr="00000000">
      <w:drawing>
        <wp:anchor allowOverlap="1" behindDoc="0" distB="0" distT="0" distL="114300" distR="114300" hidden="0" layoutInCell="1" locked="0" relativeHeight="0" simplePos="0">
          <wp:simplePos x="0" y="0"/>
          <wp:positionH relativeFrom="margin">
            <wp:posOffset>4838700</wp:posOffset>
          </wp:positionH>
          <wp:positionV relativeFrom="paragraph">
            <wp:posOffset>19050</wp:posOffset>
          </wp:positionV>
          <wp:extent cx="1073150" cy="1099185"/>
          <wp:effectExtent b="0" l="0" r="0" t="0"/>
          <wp:wrapNone/>
          <wp:docPr descr="LOGO_A~1" id="12" name="image32.jpg"/>
          <a:graphic>
            <a:graphicData uri="http://schemas.openxmlformats.org/drawingml/2006/picture">
              <pic:pic>
                <pic:nvPicPr>
                  <pic:cNvPr descr="LOGO_A~1" id="0" name="image32.jpg"/>
                  <pic:cNvPicPr preferRelativeResize="0"/>
                </pic:nvPicPr>
                <pic:blipFill>
                  <a:blip r:embed="rId1"/>
                  <a:srcRect b="0" l="0" r="0" t="0"/>
                  <a:stretch>
                    <a:fillRect/>
                  </a:stretch>
                </pic:blipFill>
                <pic:spPr>
                  <a:xfrm>
                    <a:off x="0" y="0"/>
                    <a:ext cx="1073150" cy="1099185"/>
                  </a:xfrm>
                  <a:prstGeom prst="rect"/>
                  <a:ln/>
                </pic:spPr>
              </pic:pic>
            </a:graphicData>
          </a:graphic>
        </wp:anchor>
      </w:drawing>
    </w:r>
  </w:p>
  <w:p w:rsidR="00000000" w:rsidDel="00000000" w:rsidP="00000000" w:rsidRDefault="00000000" w:rsidRPr="00000000">
    <w:pPr>
      <w:pBdr/>
      <w:contextualSpacing w:val="0"/>
      <w:jc w:val="cente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2"/>
        <w:szCs w:val="12"/>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Facultad de Ingeniería</w:t>
    </w:r>
  </w:p>
  <w:p w:rsidR="00000000" w:rsidDel="00000000" w:rsidP="00000000" w:rsidRDefault="00000000" w:rsidRPr="00000000">
    <w:pPr>
      <w:pBd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Parcial práctico.</w:t>
    </w:r>
  </w:p>
  <w:p w:rsidR="00000000" w:rsidDel="00000000" w:rsidP="00000000" w:rsidRDefault="00000000" w:rsidRPr="00000000">
    <w:pPr>
      <w:pBd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III Periodo de 2017</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28.png"/><Relationship Id="rId22" Type="http://schemas.openxmlformats.org/officeDocument/2006/relationships/image" Target="media/image38.png"/><Relationship Id="rId10" Type="http://schemas.openxmlformats.org/officeDocument/2006/relationships/image" Target="media/image26.png"/><Relationship Id="rId21" Type="http://schemas.openxmlformats.org/officeDocument/2006/relationships/image" Target="media/image31.png"/><Relationship Id="rId13" Type="http://schemas.openxmlformats.org/officeDocument/2006/relationships/image" Target="media/image22.png"/><Relationship Id="rId24" Type="http://schemas.openxmlformats.org/officeDocument/2006/relationships/image" Target="media/image39.png"/><Relationship Id="rId12" Type="http://schemas.openxmlformats.org/officeDocument/2006/relationships/image" Target="media/image25.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7.png"/><Relationship Id="rId15" Type="http://schemas.openxmlformats.org/officeDocument/2006/relationships/image" Target="media/image30.png"/><Relationship Id="rId14" Type="http://schemas.openxmlformats.org/officeDocument/2006/relationships/image" Target="media/image24.png"/><Relationship Id="rId17" Type="http://schemas.openxmlformats.org/officeDocument/2006/relationships/image" Target="media/image33.png"/><Relationship Id="rId16" Type="http://schemas.openxmlformats.org/officeDocument/2006/relationships/image" Target="media/image21.png"/><Relationship Id="rId5" Type="http://schemas.openxmlformats.org/officeDocument/2006/relationships/image" Target="media/image36.png"/><Relationship Id="rId19" Type="http://schemas.openxmlformats.org/officeDocument/2006/relationships/image" Target="media/image34.png"/><Relationship Id="rId6" Type="http://schemas.openxmlformats.org/officeDocument/2006/relationships/header" Target="header1.xml"/><Relationship Id="rId18" Type="http://schemas.openxmlformats.org/officeDocument/2006/relationships/image" Target="media/image35.png"/><Relationship Id="rId7" Type="http://schemas.openxmlformats.org/officeDocument/2006/relationships/image" Target="media/image40.png"/><Relationship Id="rId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s>
</file>