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57E72" w14:textId="1931322C" w:rsidR="00985CD8" w:rsidRPr="00145E1A" w:rsidRDefault="00C1667D" w:rsidP="000F2CAF">
      <w:pPr>
        <w:spacing w:after="0" w:line="276" w:lineRule="auto"/>
        <w:jc w:val="center"/>
        <w:rPr>
          <w:rFonts w:ascii="Times New Roman" w:hAnsi="Times New Roman" w:cs="Times New Roman"/>
          <w:b/>
          <w:bCs/>
          <w:sz w:val="48"/>
          <w:szCs w:val="48"/>
        </w:rPr>
      </w:pPr>
      <w:r>
        <w:rPr>
          <w:rFonts w:ascii="Times New Roman" w:hAnsi="Times New Roman" w:cs="Times New Roman"/>
          <w:b/>
          <w:bCs/>
          <w:sz w:val="48"/>
          <w:szCs w:val="48"/>
        </w:rPr>
        <w:t>School-Based</w:t>
      </w:r>
      <w:r w:rsidR="000F2CAF" w:rsidRPr="000F2CAF">
        <w:rPr>
          <w:rFonts w:ascii="Times New Roman" w:hAnsi="Times New Roman" w:cs="Times New Roman"/>
          <w:b/>
          <w:bCs/>
          <w:sz w:val="48"/>
          <w:szCs w:val="48"/>
        </w:rPr>
        <w:t xml:space="preserve"> Management Implementation in Rural Philippine Elementary Schools: Challenges and Best Practices in Oras East District</w:t>
      </w:r>
      <w:r w:rsidR="000F2CAF">
        <w:rPr>
          <w:rFonts w:ascii="Times New Roman" w:hAnsi="Times New Roman" w:cs="Times New Roman"/>
          <w:b/>
          <w:bCs/>
          <w:sz w:val="48"/>
          <w:szCs w:val="48"/>
        </w:rPr>
        <w:t xml:space="preserve">, </w:t>
      </w:r>
      <w:r w:rsidR="00D659ED" w:rsidRPr="00145E1A">
        <w:rPr>
          <w:rFonts w:ascii="Times New Roman" w:hAnsi="Times New Roman" w:cs="Times New Roman"/>
          <w:b/>
          <w:bCs/>
          <w:sz w:val="48"/>
          <w:szCs w:val="48"/>
        </w:rPr>
        <w:t>Eastern Samar</w:t>
      </w:r>
    </w:p>
    <w:p w14:paraId="44126BB8" w14:textId="77777777" w:rsidR="00873040" w:rsidRDefault="00C36E98" w:rsidP="00831FAA">
      <w:pPr>
        <w:spacing w:after="0" w:line="276" w:lineRule="auto"/>
        <w:jc w:val="center"/>
        <w:rPr>
          <w:rFonts w:ascii="Times New Roman" w:hAnsi="Times New Roman" w:cs="Times New Roman"/>
          <w:b/>
          <w:bCs/>
          <w:sz w:val="20"/>
          <w:szCs w:val="20"/>
        </w:rPr>
      </w:pPr>
      <w:proofErr w:type="spellStart"/>
      <w:r>
        <w:rPr>
          <w:rFonts w:ascii="Times New Roman" w:hAnsi="Times New Roman" w:cs="Times New Roman"/>
          <w:b/>
          <w:bCs/>
          <w:sz w:val="20"/>
          <w:szCs w:val="20"/>
        </w:rPr>
        <w:t>Rapatan</w:t>
      </w:r>
      <w:proofErr w:type="spellEnd"/>
      <w:r w:rsidR="00D659ED" w:rsidRPr="000A65B2">
        <w:rPr>
          <w:rFonts w:ascii="Times New Roman" w:hAnsi="Times New Roman" w:cs="Times New Roman"/>
          <w:b/>
          <w:bCs/>
          <w:sz w:val="20"/>
          <w:szCs w:val="20"/>
        </w:rPr>
        <w:t xml:space="preserve">, </w:t>
      </w:r>
      <w:r>
        <w:rPr>
          <w:rFonts w:ascii="Times New Roman" w:hAnsi="Times New Roman" w:cs="Times New Roman"/>
          <w:b/>
          <w:bCs/>
          <w:sz w:val="20"/>
          <w:szCs w:val="20"/>
        </w:rPr>
        <w:t>Arlyn O.</w:t>
      </w:r>
      <w:r w:rsidR="002F0287" w:rsidRPr="002F0287">
        <w:rPr>
          <w:rFonts w:ascii="Times New Roman" w:hAnsi="Times New Roman" w:cs="Times New Roman"/>
          <w:b/>
          <w:bCs/>
        </w:rPr>
        <w:t>*</w:t>
      </w:r>
      <w:r w:rsidR="001A3271" w:rsidRPr="000A65B2">
        <w:rPr>
          <w:rFonts w:ascii="Times New Roman" w:hAnsi="Times New Roman" w:cs="Times New Roman"/>
          <w:b/>
          <w:bCs/>
          <w:sz w:val="20"/>
          <w:szCs w:val="20"/>
          <w:vertAlign w:val="superscript"/>
        </w:rPr>
        <w:t>1</w:t>
      </w:r>
      <w:r w:rsidR="00D659ED" w:rsidRPr="000A65B2">
        <w:rPr>
          <w:rFonts w:ascii="Times New Roman" w:hAnsi="Times New Roman" w:cs="Times New Roman"/>
          <w:b/>
          <w:bCs/>
          <w:sz w:val="20"/>
          <w:szCs w:val="20"/>
        </w:rPr>
        <w:t xml:space="preserve">, </w:t>
      </w:r>
      <w:r>
        <w:rPr>
          <w:rFonts w:ascii="Times New Roman" w:hAnsi="Times New Roman" w:cs="Times New Roman"/>
          <w:b/>
          <w:bCs/>
          <w:sz w:val="20"/>
          <w:szCs w:val="20"/>
        </w:rPr>
        <w:t xml:space="preserve">Lacasa, </w:t>
      </w:r>
      <w:proofErr w:type="spellStart"/>
      <w:r>
        <w:rPr>
          <w:rFonts w:ascii="Times New Roman" w:hAnsi="Times New Roman" w:cs="Times New Roman"/>
          <w:b/>
          <w:bCs/>
          <w:sz w:val="20"/>
          <w:szCs w:val="20"/>
        </w:rPr>
        <w:t>Rosemil</w:t>
      </w:r>
      <w:proofErr w:type="spellEnd"/>
      <w:r>
        <w:rPr>
          <w:rFonts w:ascii="Times New Roman" w:hAnsi="Times New Roman" w:cs="Times New Roman"/>
          <w:b/>
          <w:bCs/>
          <w:sz w:val="20"/>
          <w:szCs w:val="20"/>
        </w:rPr>
        <w:t xml:space="preserve"> O.</w:t>
      </w:r>
      <w:r w:rsidR="001A3271" w:rsidRPr="000A65B2">
        <w:rPr>
          <w:rFonts w:ascii="Times New Roman" w:hAnsi="Times New Roman" w:cs="Times New Roman"/>
          <w:b/>
          <w:bCs/>
          <w:sz w:val="20"/>
          <w:szCs w:val="20"/>
          <w:vertAlign w:val="superscript"/>
        </w:rPr>
        <w:t>1</w:t>
      </w:r>
      <w:r w:rsidR="00D659ED" w:rsidRPr="000A65B2">
        <w:rPr>
          <w:rFonts w:ascii="Times New Roman" w:hAnsi="Times New Roman" w:cs="Times New Roman"/>
          <w:b/>
          <w:bCs/>
          <w:sz w:val="20"/>
          <w:szCs w:val="20"/>
        </w:rPr>
        <w:t xml:space="preserve">, </w:t>
      </w:r>
      <w:r>
        <w:rPr>
          <w:rFonts w:ascii="Times New Roman" w:hAnsi="Times New Roman" w:cs="Times New Roman"/>
          <w:b/>
          <w:bCs/>
          <w:sz w:val="20"/>
          <w:szCs w:val="20"/>
        </w:rPr>
        <w:t>Cebrero, Ryan Q.</w:t>
      </w:r>
      <w:r w:rsidR="001A3271" w:rsidRPr="000A65B2">
        <w:rPr>
          <w:rFonts w:ascii="Times New Roman" w:hAnsi="Times New Roman" w:cs="Times New Roman"/>
          <w:b/>
          <w:bCs/>
          <w:sz w:val="20"/>
          <w:szCs w:val="20"/>
          <w:vertAlign w:val="superscript"/>
        </w:rPr>
        <w:t>1</w:t>
      </w:r>
      <w:r w:rsidR="00D659ED" w:rsidRPr="000A65B2">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Pecenio</w:t>
      </w:r>
      <w:proofErr w:type="spellEnd"/>
      <w:r>
        <w:rPr>
          <w:rFonts w:ascii="Times New Roman" w:hAnsi="Times New Roman" w:cs="Times New Roman"/>
          <w:b/>
          <w:bCs/>
          <w:sz w:val="20"/>
          <w:szCs w:val="20"/>
        </w:rPr>
        <w:t>, Jeffrey D.</w:t>
      </w:r>
      <w:r w:rsidR="001A3271" w:rsidRPr="000A65B2">
        <w:rPr>
          <w:rFonts w:ascii="Times New Roman" w:hAnsi="Times New Roman" w:cs="Times New Roman"/>
          <w:b/>
          <w:bCs/>
          <w:sz w:val="20"/>
          <w:szCs w:val="20"/>
          <w:vertAlign w:val="superscript"/>
        </w:rPr>
        <w:t>1</w:t>
      </w:r>
      <w:r w:rsidR="00D659ED" w:rsidRPr="000A65B2">
        <w:rPr>
          <w:rFonts w:ascii="Times New Roman" w:hAnsi="Times New Roman" w:cs="Times New Roman"/>
          <w:b/>
          <w:bCs/>
          <w:sz w:val="20"/>
          <w:szCs w:val="20"/>
        </w:rPr>
        <w:t xml:space="preserve">, </w:t>
      </w:r>
      <w:r>
        <w:rPr>
          <w:rFonts w:ascii="Times New Roman" w:hAnsi="Times New Roman" w:cs="Times New Roman"/>
          <w:b/>
          <w:bCs/>
          <w:sz w:val="20"/>
          <w:szCs w:val="20"/>
        </w:rPr>
        <w:t>Lalosa, Darwin</w:t>
      </w:r>
      <w:r w:rsidR="001A3271" w:rsidRPr="000A65B2">
        <w:rPr>
          <w:rFonts w:ascii="Times New Roman" w:hAnsi="Times New Roman" w:cs="Times New Roman"/>
          <w:b/>
          <w:bCs/>
          <w:sz w:val="20"/>
          <w:szCs w:val="20"/>
          <w:vertAlign w:val="superscript"/>
        </w:rPr>
        <w:t>1</w:t>
      </w:r>
      <w:r w:rsidR="00D659ED" w:rsidRPr="000A65B2">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Norombaba</w:t>
      </w:r>
      <w:proofErr w:type="spellEnd"/>
      <w:r>
        <w:rPr>
          <w:rFonts w:ascii="Times New Roman" w:hAnsi="Times New Roman" w:cs="Times New Roman"/>
          <w:b/>
          <w:bCs/>
          <w:sz w:val="20"/>
          <w:szCs w:val="20"/>
        </w:rPr>
        <w:t>, Marla L.</w:t>
      </w:r>
      <w:r w:rsidR="001A3271" w:rsidRPr="000A65B2">
        <w:rPr>
          <w:rFonts w:ascii="Times New Roman" w:hAnsi="Times New Roman" w:cs="Times New Roman"/>
          <w:b/>
          <w:bCs/>
          <w:sz w:val="20"/>
          <w:szCs w:val="20"/>
          <w:vertAlign w:val="superscript"/>
        </w:rPr>
        <w:t>1</w:t>
      </w:r>
      <w:r w:rsidR="00D659ED" w:rsidRPr="000A65B2">
        <w:rPr>
          <w:rFonts w:ascii="Times New Roman" w:hAnsi="Times New Roman" w:cs="Times New Roman"/>
          <w:b/>
          <w:bCs/>
          <w:sz w:val="20"/>
          <w:szCs w:val="20"/>
        </w:rPr>
        <w:t xml:space="preserve">, </w:t>
      </w:r>
      <w:r>
        <w:rPr>
          <w:rFonts w:ascii="Times New Roman" w:hAnsi="Times New Roman" w:cs="Times New Roman"/>
          <w:b/>
          <w:bCs/>
          <w:sz w:val="20"/>
          <w:szCs w:val="20"/>
        </w:rPr>
        <w:t>Galope, Melissa P.</w:t>
      </w:r>
      <w:r w:rsidR="001A3271" w:rsidRPr="000A65B2">
        <w:rPr>
          <w:rFonts w:ascii="Times New Roman" w:hAnsi="Times New Roman" w:cs="Times New Roman"/>
          <w:b/>
          <w:bCs/>
          <w:sz w:val="20"/>
          <w:szCs w:val="20"/>
          <w:vertAlign w:val="superscript"/>
        </w:rPr>
        <w:t>1</w:t>
      </w:r>
      <w:r w:rsidR="00D659ED" w:rsidRPr="000A65B2">
        <w:rPr>
          <w:rFonts w:ascii="Times New Roman" w:hAnsi="Times New Roman" w:cs="Times New Roman"/>
          <w:b/>
          <w:bCs/>
          <w:sz w:val="20"/>
          <w:szCs w:val="20"/>
        </w:rPr>
        <w:t xml:space="preserve">, </w:t>
      </w:r>
      <w:r>
        <w:rPr>
          <w:rFonts w:ascii="Times New Roman" w:hAnsi="Times New Roman" w:cs="Times New Roman"/>
          <w:b/>
          <w:bCs/>
          <w:sz w:val="20"/>
          <w:szCs w:val="20"/>
        </w:rPr>
        <w:t>Olalia, Minda G.</w:t>
      </w:r>
      <w:r w:rsidR="001A3271" w:rsidRPr="000A65B2">
        <w:rPr>
          <w:rFonts w:ascii="Times New Roman" w:hAnsi="Times New Roman" w:cs="Times New Roman"/>
          <w:b/>
          <w:bCs/>
          <w:sz w:val="20"/>
          <w:szCs w:val="20"/>
          <w:vertAlign w:val="superscript"/>
        </w:rPr>
        <w:t>1</w:t>
      </w:r>
      <w:r w:rsidR="00D659ED" w:rsidRPr="000A65B2">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Guasis</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Arnilyn</w:t>
      </w:r>
      <w:proofErr w:type="spellEnd"/>
      <w:r>
        <w:rPr>
          <w:rFonts w:ascii="Times New Roman" w:hAnsi="Times New Roman" w:cs="Times New Roman"/>
          <w:b/>
          <w:bCs/>
          <w:sz w:val="20"/>
          <w:szCs w:val="20"/>
        </w:rPr>
        <w:t xml:space="preserve"> M.</w:t>
      </w:r>
      <w:r w:rsidR="001A3271" w:rsidRPr="000A65B2">
        <w:rPr>
          <w:rFonts w:ascii="Times New Roman" w:hAnsi="Times New Roman" w:cs="Times New Roman"/>
          <w:b/>
          <w:bCs/>
          <w:sz w:val="20"/>
          <w:szCs w:val="20"/>
          <w:vertAlign w:val="superscript"/>
        </w:rPr>
        <w:t>1</w:t>
      </w:r>
      <w:r w:rsidR="00D659ED" w:rsidRPr="000A65B2">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Olongada</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Josepehine</w:t>
      </w:r>
      <w:proofErr w:type="spellEnd"/>
      <w:r>
        <w:rPr>
          <w:rFonts w:ascii="Times New Roman" w:hAnsi="Times New Roman" w:cs="Times New Roman"/>
          <w:b/>
          <w:bCs/>
          <w:sz w:val="20"/>
          <w:szCs w:val="20"/>
        </w:rPr>
        <w:t xml:space="preserve"> O.</w:t>
      </w:r>
      <w:r w:rsidR="001A3271" w:rsidRPr="000A65B2">
        <w:rPr>
          <w:rFonts w:ascii="Times New Roman" w:hAnsi="Times New Roman" w:cs="Times New Roman"/>
          <w:b/>
          <w:bCs/>
          <w:sz w:val="20"/>
          <w:szCs w:val="20"/>
          <w:vertAlign w:val="superscript"/>
        </w:rPr>
        <w:t>1</w:t>
      </w:r>
      <w:r w:rsidR="000A65B2">
        <w:rPr>
          <w:rFonts w:ascii="Times New Roman" w:hAnsi="Times New Roman" w:cs="Times New Roman"/>
          <w:b/>
          <w:bCs/>
          <w:sz w:val="20"/>
          <w:szCs w:val="20"/>
        </w:rPr>
        <w:t xml:space="preserve">, </w:t>
      </w:r>
    </w:p>
    <w:p w14:paraId="21BD7D8E" w14:textId="10CDD934" w:rsidR="00D659ED" w:rsidRPr="000A65B2" w:rsidRDefault="000A65B2" w:rsidP="00831FAA">
      <w:pPr>
        <w:spacing w:after="0" w:line="276" w:lineRule="auto"/>
        <w:jc w:val="center"/>
        <w:rPr>
          <w:rFonts w:ascii="Times New Roman" w:hAnsi="Times New Roman" w:cs="Times New Roman"/>
          <w:b/>
          <w:bCs/>
          <w:sz w:val="20"/>
          <w:szCs w:val="20"/>
        </w:rPr>
      </w:pPr>
      <w:proofErr w:type="spellStart"/>
      <w:r>
        <w:rPr>
          <w:rFonts w:ascii="Times New Roman" w:hAnsi="Times New Roman" w:cs="Times New Roman"/>
          <w:b/>
          <w:bCs/>
          <w:sz w:val="20"/>
          <w:szCs w:val="20"/>
        </w:rPr>
        <w:t>Quiloña</w:t>
      </w:r>
      <w:proofErr w:type="spellEnd"/>
      <w:r>
        <w:rPr>
          <w:rFonts w:ascii="Times New Roman" w:hAnsi="Times New Roman" w:cs="Times New Roman"/>
          <w:b/>
          <w:bCs/>
          <w:sz w:val="20"/>
          <w:szCs w:val="20"/>
        </w:rPr>
        <w:t>, Janice Dyan</w:t>
      </w:r>
      <w:r w:rsidRPr="000A65B2">
        <w:rPr>
          <w:rFonts w:ascii="Times New Roman" w:hAnsi="Times New Roman" w:cs="Times New Roman"/>
          <w:b/>
          <w:bCs/>
          <w:sz w:val="20"/>
          <w:szCs w:val="20"/>
          <w:vertAlign w:val="superscript"/>
        </w:rPr>
        <w:t>2</w:t>
      </w:r>
    </w:p>
    <w:p w14:paraId="75EF6612" w14:textId="361F8FF1" w:rsidR="00DF206D" w:rsidRPr="000A65B2" w:rsidRDefault="001A3271" w:rsidP="00831FAA">
      <w:pPr>
        <w:spacing w:after="0" w:line="276" w:lineRule="auto"/>
        <w:jc w:val="center"/>
        <w:rPr>
          <w:rFonts w:ascii="Times New Roman" w:hAnsi="Times New Roman" w:cs="Times New Roman"/>
          <w:i/>
          <w:iCs/>
        </w:rPr>
      </w:pPr>
      <w:r w:rsidRPr="000A65B2">
        <w:rPr>
          <w:rFonts w:ascii="Times New Roman" w:hAnsi="Times New Roman" w:cs="Times New Roman"/>
          <w:i/>
          <w:iCs/>
          <w:vertAlign w:val="superscript"/>
        </w:rPr>
        <w:t xml:space="preserve">1 </w:t>
      </w:r>
      <w:r w:rsidRPr="000A65B2">
        <w:rPr>
          <w:rFonts w:ascii="Times New Roman" w:hAnsi="Times New Roman" w:cs="Times New Roman"/>
          <w:i/>
          <w:iCs/>
        </w:rPr>
        <w:t>M</w:t>
      </w:r>
      <w:r w:rsidR="000A65B2">
        <w:rPr>
          <w:rFonts w:ascii="Times New Roman" w:hAnsi="Times New Roman" w:cs="Times New Roman"/>
          <w:i/>
          <w:iCs/>
        </w:rPr>
        <w:t>aster of Arts</w:t>
      </w:r>
      <w:r w:rsidR="002F0287">
        <w:rPr>
          <w:rFonts w:ascii="Times New Roman" w:hAnsi="Times New Roman" w:cs="Times New Roman"/>
          <w:i/>
          <w:iCs/>
        </w:rPr>
        <w:t xml:space="preserve"> in Educational Management (MAED)</w:t>
      </w:r>
      <w:r w:rsidRPr="000A65B2">
        <w:rPr>
          <w:rFonts w:ascii="Times New Roman" w:hAnsi="Times New Roman" w:cs="Times New Roman"/>
          <w:i/>
          <w:iCs/>
        </w:rPr>
        <w:t xml:space="preserve"> Student</w:t>
      </w:r>
      <w:r w:rsidR="00DF206D" w:rsidRPr="000A65B2">
        <w:rPr>
          <w:rFonts w:ascii="Times New Roman" w:hAnsi="Times New Roman" w:cs="Times New Roman"/>
          <w:i/>
          <w:iCs/>
        </w:rPr>
        <w:t xml:space="preserve">, </w:t>
      </w:r>
      <w:r w:rsidRPr="000A65B2">
        <w:rPr>
          <w:rFonts w:ascii="Times New Roman" w:hAnsi="Times New Roman" w:cs="Times New Roman"/>
          <w:i/>
          <w:iCs/>
        </w:rPr>
        <w:t>Graduate School</w:t>
      </w:r>
      <w:r w:rsidRPr="000A65B2">
        <w:rPr>
          <w:rFonts w:ascii="Times New Roman" w:hAnsi="Times New Roman" w:cs="Times New Roman"/>
          <w:i/>
          <w:iCs/>
          <w:vertAlign w:val="superscript"/>
        </w:rPr>
        <w:t xml:space="preserve"> </w:t>
      </w:r>
      <w:r w:rsidR="00137BAA" w:rsidRPr="000A65B2">
        <w:rPr>
          <w:rFonts w:ascii="Times New Roman" w:hAnsi="Times New Roman" w:cs="Times New Roman"/>
          <w:i/>
          <w:iCs/>
        </w:rPr>
        <w:t>Extension</w:t>
      </w:r>
      <w:r w:rsidR="002F0287">
        <w:rPr>
          <w:rFonts w:ascii="Times New Roman" w:hAnsi="Times New Roman" w:cs="Times New Roman"/>
          <w:i/>
          <w:iCs/>
        </w:rPr>
        <w:t>, Eastern Samar State University-Can-avid (ESSUC), Philippines</w:t>
      </w:r>
    </w:p>
    <w:p w14:paraId="6C91EE94" w14:textId="33384C80" w:rsidR="001A3271" w:rsidRDefault="00DF206D" w:rsidP="00831FAA">
      <w:pPr>
        <w:spacing w:after="0" w:line="276" w:lineRule="auto"/>
        <w:jc w:val="center"/>
        <w:rPr>
          <w:rFonts w:ascii="Times New Roman" w:hAnsi="Times New Roman" w:cs="Times New Roman"/>
          <w:i/>
          <w:iCs/>
        </w:rPr>
      </w:pPr>
      <w:r w:rsidRPr="000A65B2">
        <w:rPr>
          <w:rFonts w:ascii="Times New Roman" w:hAnsi="Times New Roman" w:cs="Times New Roman"/>
          <w:i/>
          <w:iCs/>
        </w:rPr>
        <w:t xml:space="preserve"> </w:t>
      </w:r>
      <w:r w:rsidRPr="002F0287">
        <w:rPr>
          <w:rFonts w:ascii="Times New Roman" w:hAnsi="Times New Roman" w:cs="Times New Roman"/>
          <w:b/>
          <w:bCs/>
          <w:i/>
          <w:iCs/>
          <w:vertAlign w:val="superscript"/>
        </w:rPr>
        <w:t>2</w:t>
      </w:r>
      <w:r w:rsidRPr="000A65B2">
        <w:rPr>
          <w:rFonts w:ascii="Times New Roman" w:hAnsi="Times New Roman" w:cs="Times New Roman"/>
          <w:i/>
          <w:iCs/>
        </w:rPr>
        <w:t>Dean and Senior Faculty, MAED</w:t>
      </w:r>
      <w:r w:rsidR="00137BAA" w:rsidRPr="000A65B2">
        <w:rPr>
          <w:rFonts w:ascii="Times New Roman" w:hAnsi="Times New Roman" w:cs="Times New Roman"/>
          <w:i/>
          <w:iCs/>
        </w:rPr>
        <w:t xml:space="preserve"> Graduate School-Extension</w:t>
      </w:r>
      <w:r w:rsidR="002F0287">
        <w:rPr>
          <w:rFonts w:ascii="Times New Roman" w:hAnsi="Times New Roman" w:cs="Times New Roman"/>
          <w:i/>
          <w:iCs/>
        </w:rPr>
        <w:t>, ESSUC, Philippines</w:t>
      </w:r>
    </w:p>
    <w:p w14:paraId="5CCDFE6A" w14:textId="23F6F627" w:rsidR="002F0287" w:rsidRPr="002F0287" w:rsidRDefault="002F0287" w:rsidP="00831FAA">
      <w:pPr>
        <w:spacing w:after="0" w:line="276" w:lineRule="auto"/>
        <w:jc w:val="center"/>
        <w:rPr>
          <w:rFonts w:ascii="Times New Roman" w:hAnsi="Times New Roman" w:cs="Times New Roman"/>
          <w:b/>
          <w:bCs/>
        </w:rPr>
      </w:pPr>
      <w:r w:rsidRPr="002F0287">
        <w:rPr>
          <w:rFonts w:ascii="Times New Roman" w:hAnsi="Times New Roman" w:cs="Times New Roman"/>
          <w:b/>
          <w:bCs/>
        </w:rPr>
        <w:t xml:space="preserve">*Corresponding Author: </w:t>
      </w:r>
      <w:r w:rsidR="00CA4E5E" w:rsidRPr="00CA4E5E">
        <w:rPr>
          <w:rFonts w:ascii="Times New Roman" w:hAnsi="Times New Roman" w:cs="Times New Roman"/>
          <w:b/>
          <w:bCs/>
        </w:rPr>
        <w:t>arlyn.rapatan@deped.gov.ph</w:t>
      </w:r>
    </w:p>
    <w:p w14:paraId="0CAA8BEB" w14:textId="77777777" w:rsidR="002F0287" w:rsidRPr="00137BAA" w:rsidRDefault="002F0287" w:rsidP="00831FAA">
      <w:pPr>
        <w:spacing w:after="0" w:line="276" w:lineRule="auto"/>
        <w:jc w:val="center"/>
        <w:rPr>
          <w:rFonts w:ascii="Times New Roman" w:hAnsi="Times New Roman" w:cs="Times New Roman"/>
        </w:rPr>
      </w:pPr>
    </w:p>
    <w:p w14:paraId="314E6158" w14:textId="29988993" w:rsidR="00D659ED" w:rsidRPr="00145E1A" w:rsidRDefault="00D659ED" w:rsidP="00831FAA">
      <w:pPr>
        <w:spacing w:after="0" w:line="276" w:lineRule="auto"/>
        <w:jc w:val="both"/>
        <w:rPr>
          <w:rFonts w:ascii="Times New Roman" w:hAnsi="Times New Roman" w:cs="Times New Roman"/>
          <w:b/>
          <w:bCs/>
          <w:sz w:val="28"/>
          <w:szCs w:val="28"/>
        </w:rPr>
      </w:pPr>
      <w:r w:rsidRPr="00145E1A">
        <w:rPr>
          <w:rFonts w:ascii="Times New Roman" w:hAnsi="Times New Roman" w:cs="Times New Roman"/>
          <w:b/>
          <w:bCs/>
          <w:sz w:val="28"/>
          <w:szCs w:val="28"/>
        </w:rPr>
        <w:t>Abstract</w:t>
      </w:r>
    </w:p>
    <w:p w14:paraId="55592A46" w14:textId="5B910F3E" w:rsidR="00092BBC" w:rsidRDefault="000F2CAF" w:rsidP="00831FAA">
      <w:pPr>
        <w:spacing w:after="0" w:line="276" w:lineRule="auto"/>
        <w:jc w:val="both"/>
        <w:rPr>
          <w:rFonts w:ascii="Times New Roman" w:hAnsi="Times New Roman" w:cs="Times New Roman"/>
          <w:sz w:val="24"/>
          <w:szCs w:val="24"/>
        </w:rPr>
      </w:pPr>
      <w:r w:rsidRPr="000F2CAF">
        <w:rPr>
          <w:rFonts w:ascii="Times New Roman" w:hAnsi="Times New Roman" w:cs="Times New Roman"/>
          <w:sz w:val="24"/>
          <w:szCs w:val="24"/>
        </w:rPr>
        <w:t>This study investigate</w:t>
      </w:r>
      <w:r w:rsidR="00BB6F1D">
        <w:rPr>
          <w:rFonts w:ascii="Times New Roman" w:hAnsi="Times New Roman" w:cs="Times New Roman"/>
          <w:sz w:val="24"/>
          <w:szCs w:val="24"/>
        </w:rPr>
        <w:t>d</w:t>
      </w:r>
      <w:r w:rsidRPr="000F2CAF">
        <w:rPr>
          <w:rFonts w:ascii="Times New Roman" w:hAnsi="Times New Roman" w:cs="Times New Roman"/>
          <w:sz w:val="24"/>
          <w:szCs w:val="24"/>
        </w:rPr>
        <w:t xml:space="preserve"> the implementation of School-Based Management (SBM) in elementary schools located in Oras East District, Eastern Samar, Philippines. Using a descriptive quantitative approach, the research surveyed 100 respondents</w:t>
      </w:r>
      <w:r w:rsidR="004C7C40">
        <w:rPr>
          <w:rFonts w:ascii="Times New Roman" w:hAnsi="Times New Roman" w:cs="Times New Roman"/>
          <w:sz w:val="24"/>
          <w:szCs w:val="24"/>
        </w:rPr>
        <w:t xml:space="preserve"> </w:t>
      </w:r>
      <w:r w:rsidRPr="000F2CAF">
        <w:rPr>
          <w:rFonts w:ascii="Times New Roman" w:hAnsi="Times New Roman" w:cs="Times New Roman"/>
          <w:sz w:val="24"/>
          <w:szCs w:val="24"/>
        </w:rPr>
        <w:t>including school heads, teachers, and parent or community representatives</w:t>
      </w:r>
      <w:r w:rsidR="004C7C40">
        <w:rPr>
          <w:rFonts w:ascii="Times New Roman" w:hAnsi="Times New Roman" w:cs="Times New Roman"/>
          <w:sz w:val="24"/>
          <w:szCs w:val="24"/>
        </w:rPr>
        <w:t xml:space="preserve"> </w:t>
      </w:r>
      <w:r w:rsidRPr="000F2CAF">
        <w:rPr>
          <w:rFonts w:ascii="Times New Roman" w:hAnsi="Times New Roman" w:cs="Times New Roman"/>
          <w:sz w:val="24"/>
          <w:szCs w:val="24"/>
        </w:rPr>
        <w:t>on their perceptions of SBM implementation across four core domains: leadership and governance, curriculum and learning, accountability and continuous improvement, and resource management. Data were gathered through a structured questionnaire based on the Department of Education’s SBM framework and analyzed using descriptive statistics. Results revealed that leadership and governance received the highest overall rating, suggesting strong participatory practices and policy transparency among school administrators. Curriculum and learning</w:t>
      </w:r>
      <w:r w:rsidR="00BB6F1D">
        <w:rPr>
          <w:rFonts w:ascii="Times New Roman" w:hAnsi="Times New Roman" w:cs="Times New Roman"/>
          <w:sz w:val="24"/>
          <w:szCs w:val="24"/>
        </w:rPr>
        <w:t>,</w:t>
      </w:r>
      <w:r w:rsidRPr="000F2CAF">
        <w:rPr>
          <w:rFonts w:ascii="Times New Roman" w:hAnsi="Times New Roman" w:cs="Times New Roman"/>
          <w:sz w:val="24"/>
          <w:szCs w:val="24"/>
        </w:rPr>
        <w:t xml:space="preserve"> and resource management scored slightly lower, reflecting limitations in professional development and resource accessibility. Open-ended responses highlighted key challenges such as inadequate funding, insufficient stakeholder </w:t>
      </w:r>
      <w:r w:rsidR="004A27F3">
        <w:rPr>
          <w:rFonts w:ascii="Times New Roman" w:hAnsi="Times New Roman" w:cs="Times New Roman"/>
          <w:sz w:val="24"/>
          <w:szCs w:val="24"/>
        </w:rPr>
        <w:t>engagement</w:t>
      </w:r>
      <w:r w:rsidRPr="000F2CAF">
        <w:rPr>
          <w:rFonts w:ascii="Times New Roman" w:hAnsi="Times New Roman" w:cs="Times New Roman"/>
          <w:sz w:val="24"/>
          <w:szCs w:val="24"/>
        </w:rPr>
        <w:t xml:space="preserve">, and administrative workload. Conversely, best practices included collaborative leadership, strategic planning, and inclusive governance. The findings </w:t>
      </w:r>
      <w:r w:rsidR="004C7C40">
        <w:rPr>
          <w:rFonts w:ascii="Times New Roman" w:hAnsi="Times New Roman" w:cs="Times New Roman"/>
          <w:sz w:val="24"/>
          <w:szCs w:val="24"/>
        </w:rPr>
        <w:t>confirm the crucial role of local leadership, stakeholder engagement, and context-sensitive support systems in sustaining SBM</w:t>
      </w:r>
      <w:r w:rsidRPr="000F2CAF">
        <w:rPr>
          <w:rFonts w:ascii="Times New Roman" w:hAnsi="Times New Roman" w:cs="Times New Roman"/>
          <w:sz w:val="24"/>
          <w:szCs w:val="24"/>
        </w:rPr>
        <w:t xml:space="preserve"> initiatives in rural settings. The study contributes to the broader discourse on educational decentralization and offers evidence-based recommendations for improving SBM implementation in underserved communities.</w:t>
      </w:r>
    </w:p>
    <w:p w14:paraId="062B3477" w14:textId="77777777" w:rsidR="000F2CAF" w:rsidRDefault="000F2CAF" w:rsidP="00831FAA">
      <w:pPr>
        <w:spacing w:after="0" w:line="276" w:lineRule="auto"/>
        <w:jc w:val="both"/>
        <w:rPr>
          <w:rFonts w:ascii="Times New Roman" w:hAnsi="Times New Roman" w:cs="Times New Roman"/>
          <w:sz w:val="24"/>
          <w:szCs w:val="24"/>
        </w:rPr>
      </w:pPr>
    </w:p>
    <w:p w14:paraId="62BA0B82" w14:textId="30819919" w:rsidR="00C4633B" w:rsidRPr="00145E1A" w:rsidRDefault="00D659ED" w:rsidP="00831FAA">
      <w:pPr>
        <w:spacing w:after="0" w:line="276" w:lineRule="auto"/>
        <w:jc w:val="both"/>
        <w:rPr>
          <w:rFonts w:ascii="Times New Roman" w:hAnsi="Times New Roman" w:cs="Times New Roman"/>
          <w:sz w:val="24"/>
          <w:szCs w:val="24"/>
        </w:rPr>
      </w:pPr>
      <w:r w:rsidRPr="000A65B2">
        <w:rPr>
          <w:rFonts w:ascii="Times New Roman" w:hAnsi="Times New Roman" w:cs="Times New Roman"/>
          <w:i/>
          <w:iCs/>
          <w:sz w:val="24"/>
          <w:szCs w:val="24"/>
        </w:rPr>
        <w:t xml:space="preserve">Keywords: </w:t>
      </w:r>
      <w:r w:rsidR="000F2CAF" w:rsidRPr="000F2CAF">
        <w:rPr>
          <w:rFonts w:ascii="Times New Roman" w:hAnsi="Times New Roman" w:cs="Times New Roman"/>
          <w:i/>
          <w:iCs/>
          <w:sz w:val="24"/>
          <w:szCs w:val="24"/>
        </w:rPr>
        <w:t>School-Based</w:t>
      </w:r>
      <w:r w:rsidR="00BB6F1D">
        <w:rPr>
          <w:rFonts w:ascii="Times New Roman" w:hAnsi="Times New Roman" w:cs="Times New Roman"/>
          <w:i/>
          <w:iCs/>
          <w:sz w:val="24"/>
          <w:szCs w:val="24"/>
        </w:rPr>
        <w:t xml:space="preserve"> </w:t>
      </w:r>
      <w:r w:rsidR="000F2CAF" w:rsidRPr="000F2CAF">
        <w:rPr>
          <w:rFonts w:ascii="Times New Roman" w:hAnsi="Times New Roman" w:cs="Times New Roman"/>
          <w:i/>
          <w:iCs/>
          <w:sz w:val="24"/>
          <w:szCs w:val="24"/>
        </w:rPr>
        <w:t>Management</w:t>
      </w:r>
      <w:r w:rsidR="000F2CAF">
        <w:rPr>
          <w:rFonts w:ascii="Times New Roman" w:hAnsi="Times New Roman" w:cs="Times New Roman"/>
          <w:i/>
          <w:iCs/>
          <w:sz w:val="24"/>
          <w:szCs w:val="24"/>
        </w:rPr>
        <w:t>,</w:t>
      </w:r>
      <w:r w:rsidR="004A27F3">
        <w:rPr>
          <w:rFonts w:ascii="Times New Roman" w:hAnsi="Times New Roman" w:cs="Times New Roman"/>
          <w:i/>
          <w:iCs/>
          <w:sz w:val="24"/>
          <w:szCs w:val="24"/>
        </w:rPr>
        <w:t xml:space="preserve"> </w:t>
      </w:r>
      <w:r w:rsidR="00BB6F1D">
        <w:rPr>
          <w:rFonts w:ascii="Times New Roman" w:hAnsi="Times New Roman" w:cs="Times New Roman"/>
          <w:i/>
          <w:iCs/>
          <w:sz w:val="24"/>
          <w:szCs w:val="24"/>
        </w:rPr>
        <w:t>l</w:t>
      </w:r>
      <w:r w:rsidR="000F2CAF" w:rsidRPr="000F2CAF">
        <w:rPr>
          <w:rFonts w:ascii="Times New Roman" w:hAnsi="Times New Roman" w:cs="Times New Roman"/>
          <w:i/>
          <w:iCs/>
          <w:sz w:val="24"/>
          <w:szCs w:val="24"/>
        </w:rPr>
        <w:t>eadership</w:t>
      </w:r>
      <w:r w:rsidR="004A27F3">
        <w:rPr>
          <w:rFonts w:ascii="Times New Roman" w:hAnsi="Times New Roman" w:cs="Times New Roman"/>
          <w:i/>
          <w:iCs/>
          <w:sz w:val="24"/>
          <w:szCs w:val="24"/>
        </w:rPr>
        <w:t xml:space="preserve"> and governance</w:t>
      </w:r>
      <w:r w:rsidR="000F2CAF">
        <w:rPr>
          <w:rFonts w:ascii="Times New Roman" w:hAnsi="Times New Roman" w:cs="Times New Roman"/>
          <w:i/>
          <w:iCs/>
          <w:sz w:val="24"/>
          <w:szCs w:val="24"/>
        </w:rPr>
        <w:t xml:space="preserve">, </w:t>
      </w:r>
      <w:r w:rsidR="00BB6F1D">
        <w:rPr>
          <w:rFonts w:ascii="Times New Roman" w:hAnsi="Times New Roman" w:cs="Times New Roman"/>
          <w:i/>
          <w:iCs/>
          <w:sz w:val="24"/>
          <w:szCs w:val="24"/>
        </w:rPr>
        <w:t>r</w:t>
      </w:r>
      <w:r w:rsidR="000F2CAF" w:rsidRPr="000F2CAF">
        <w:rPr>
          <w:rFonts w:ascii="Times New Roman" w:hAnsi="Times New Roman" w:cs="Times New Roman"/>
          <w:i/>
          <w:iCs/>
          <w:sz w:val="24"/>
          <w:szCs w:val="24"/>
        </w:rPr>
        <w:t xml:space="preserve">ural </w:t>
      </w:r>
      <w:r w:rsidR="00BB6F1D">
        <w:rPr>
          <w:rFonts w:ascii="Times New Roman" w:hAnsi="Times New Roman" w:cs="Times New Roman"/>
          <w:i/>
          <w:iCs/>
          <w:sz w:val="24"/>
          <w:szCs w:val="24"/>
        </w:rPr>
        <w:t>s</w:t>
      </w:r>
      <w:r w:rsidR="000F2CAF" w:rsidRPr="000F2CAF">
        <w:rPr>
          <w:rFonts w:ascii="Times New Roman" w:hAnsi="Times New Roman" w:cs="Times New Roman"/>
          <w:i/>
          <w:iCs/>
          <w:sz w:val="24"/>
          <w:szCs w:val="24"/>
        </w:rPr>
        <w:t>chools</w:t>
      </w:r>
      <w:r w:rsidR="000F2CAF">
        <w:rPr>
          <w:rFonts w:ascii="Times New Roman" w:hAnsi="Times New Roman" w:cs="Times New Roman"/>
          <w:i/>
          <w:iCs/>
          <w:sz w:val="24"/>
          <w:szCs w:val="24"/>
        </w:rPr>
        <w:t xml:space="preserve">, </w:t>
      </w:r>
      <w:r w:rsidR="00BB6F1D">
        <w:rPr>
          <w:rFonts w:ascii="Times New Roman" w:hAnsi="Times New Roman" w:cs="Times New Roman"/>
          <w:i/>
          <w:iCs/>
          <w:sz w:val="24"/>
          <w:szCs w:val="24"/>
        </w:rPr>
        <w:t>s</w:t>
      </w:r>
      <w:r w:rsidR="000F2CAF" w:rsidRPr="000F2CAF">
        <w:rPr>
          <w:rFonts w:ascii="Times New Roman" w:hAnsi="Times New Roman" w:cs="Times New Roman"/>
          <w:i/>
          <w:iCs/>
          <w:sz w:val="24"/>
          <w:szCs w:val="24"/>
        </w:rPr>
        <w:t xml:space="preserve">takeholder </w:t>
      </w:r>
      <w:r w:rsidR="00BB6F1D">
        <w:rPr>
          <w:rFonts w:ascii="Times New Roman" w:hAnsi="Times New Roman" w:cs="Times New Roman"/>
          <w:i/>
          <w:iCs/>
          <w:sz w:val="24"/>
          <w:szCs w:val="24"/>
        </w:rPr>
        <w:t>e</w:t>
      </w:r>
      <w:r w:rsidR="000F2CAF" w:rsidRPr="000F2CAF">
        <w:rPr>
          <w:rFonts w:ascii="Times New Roman" w:hAnsi="Times New Roman" w:cs="Times New Roman"/>
          <w:i/>
          <w:iCs/>
          <w:sz w:val="24"/>
          <w:szCs w:val="24"/>
        </w:rPr>
        <w:t>ngagement</w:t>
      </w:r>
      <w:r w:rsidR="000F2CAF">
        <w:rPr>
          <w:rFonts w:ascii="Times New Roman" w:hAnsi="Times New Roman" w:cs="Times New Roman"/>
          <w:i/>
          <w:iCs/>
          <w:sz w:val="24"/>
          <w:szCs w:val="24"/>
        </w:rPr>
        <w:t>,</w:t>
      </w:r>
      <w:r w:rsidR="000F2CAF" w:rsidRPr="000F2CAF">
        <w:rPr>
          <w:rFonts w:ascii="Times New Roman" w:hAnsi="Times New Roman" w:cs="Times New Roman"/>
          <w:i/>
          <w:iCs/>
          <w:sz w:val="24"/>
          <w:szCs w:val="24"/>
        </w:rPr>
        <w:t xml:space="preserve"> </w:t>
      </w:r>
      <w:r w:rsidR="00BB6F1D">
        <w:rPr>
          <w:rFonts w:ascii="Times New Roman" w:hAnsi="Times New Roman" w:cs="Times New Roman"/>
          <w:i/>
          <w:iCs/>
          <w:sz w:val="24"/>
          <w:szCs w:val="24"/>
        </w:rPr>
        <w:t>r</w:t>
      </w:r>
      <w:r w:rsidR="000F2CAF" w:rsidRPr="000F2CAF">
        <w:rPr>
          <w:rFonts w:ascii="Times New Roman" w:hAnsi="Times New Roman" w:cs="Times New Roman"/>
          <w:i/>
          <w:iCs/>
          <w:sz w:val="24"/>
          <w:szCs w:val="24"/>
        </w:rPr>
        <w:t xml:space="preserve">esource </w:t>
      </w:r>
      <w:r w:rsidR="004A27F3">
        <w:rPr>
          <w:rFonts w:ascii="Times New Roman" w:hAnsi="Times New Roman" w:cs="Times New Roman"/>
          <w:i/>
          <w:iCs/>
          <w:sz w:val="24"/>
          <w:szCs w:val="24"/>
        </w:rPr>
        <w:t>management</w:t>
      </w:r>
    </w:p>
    <w:p w14:paraId="22176849" w14:textId="77777777" w:rsidR="000F2CAF" w:rsidRDefault="000F2CAF" w:rsidP="00831FAA">
      <w:pPr>
        <w:spacing w:after="0" w:line="276" w:lineRule="auto"/>
        <w:jc w:val="both"/>
        <w:rPr>
          <w:rFonts w:ascii="Times New Roman" w:hAnsi="Times New Roman" w:cs="Times New Roman"/>
          <w:b/>
          <w:bCs/>
          <w:sz w:val="28"/>
          <w:szCs w:val="28"/>
        </w:rPr>
      </w:pPr>
    </w:p>
    <w:p w14:paraId="64708900" w14:textId="435C92C5" w:rsidR="00C4633B" w:rsidRPr="00AD0054" w:rsidRDefault="0097527C" w:rsidP="0097527C">
      <w:pPr>
        <w:spacing w:after="0" w:line="276" w:lineRule="auto"/>
        <w:jc w:val="center"/>
        <w:rPr>
          <w:rFonts w:ascii="Times New Roman" w:hAnsi="Times New Roman" w:cs="Times New Roman"/>
          <w:b/>
          <w:bCs/>
          <w:sz w:val="28"/>
          <w:szCs w:val="28"/>
        </w:rPr>
      </w:pPr>
      <w:r w:rsidRPr="00AD0054">
        <w:rPr>
          <w:rFonts w:ascii="Times New Roman" w:hAnsi="Times New Roman" w:cs="Times New Roman"/>
          <w:b/>
          <w:bCs/>
          <w:sz w:val="28"/>
          <w:szCs w:val="28"/>
        </w:rPr>
        <w:t>INTRODUCTION</w:t>
      </w:r>
    </w:p>
    <w:p w14:paraId="6E050196" w14:textId="77777777" w:rsidR="0097527C" w:rsidRDefault="0097527C" w:rsidP="00E304DD">
      <w:pPr>
        <w:spacing w:after="0" w:line="276" w:lineRule="auto"/>
        <w:ind w:firstLine="720"/>
        <w:jc w:val="both"/>
        <w:rPr>
          <w:rFonts w:ascii="Times New Roman" w:hAnsi="Times New Roman" w:cs="Times New Roman"/>
          <w:sz w:val="24"/>
          <w:szCs w:val="24"/>
        </w:rPr>
      </w:pPr>
    </w:p>
    <w:p w14:paraId="5264228C" w14:textId="51776FB3" w:rsidR="00E304DD" w:rsidRPr="00E304DD" w:rsidRDefault="00E304DD" w:rsidP="00E304DD">
      <w:pPr>
        <w:spacing w:after="0" w:line="276" w:lineRule="auto"/>
        <w:ind w:firstLine="720"/>
        <w:jc w:val="both"/>
        <w:rPr>
          <w:rFonts w:ascii="Times New Roman" w:hAnsi="Times New Roman" w:cs="Times New Roman"/>
          <w:sz w:val="24"/>
          <w:szCs w:val="24"/>
        </w:rPr>
      </w:pPr>
      <w:r w:rsidRPr="00E304DD">
        <w:rPr>
          <w:rFonts w:ascii="Times New Roman" w:hAnsi="Times New Roman" w:cs="Times New Roman"/>
          <w:sz w:val="24"/>
          <w:szCs w:val="24"/>
        </w:rPr>
        <w:t>School-Based Management (SBM) has been widely recognized as a transformative governance strategy aimed at improving educational outcomes through the decentralization of decision-making to school-level stakeholders. Globally, SBM has been linked to improved student achievement, more efficient resource allocation, and heightened accountability (World Bank, 2021; Bruns, Filmer, &amp; Patrinos, 2019). In the Philippine context, SBM was institutionalized under Republic Act 9155, the Governance of Basic Education Act of 2001, positioning schools as self-managing units tasked with delivering contextualized and inclusive education (Department of Education [DepEd], 2022).</w:t>
      </w:r>
    </w:p>
    <w:p w14:paraId="668E373D" w14:textId="076E5FAB" w:rsidR="00E304DD" w:rsidRPr="00E304DD" w:rsidRDefault="00E304DD" w:rsidP="00E304DD">
      <w:pPr>
        <w:spacing w:after="0" w:line="276" w:lineRule="auto"/>
        <w:ind w:firstLine="720"/>
        <w:jc w:val="both"/>
        <w:rPr>
          <w:rFonts w:ascii="Times New Roman" w:hAnsi="Times New Roman" w:cs="Times New Roman"/>
          <w:sz w:val="24"/>
          <w:szCs w:val="24"/>
        </w:rPr>
      </w:pPr>
      <w:r w:rsidRPr="00E304DD">
        <w:rPr>
          <w:rFonts w:ascii="Times New Roman" w:hAnsi="Times New Roman" w:cs="Times New Roman"/>
          <w:sz w:val="24"/>
          <w:szCs w:val="24"/>
        </w:rPr>
        <w:t>Despite national policy support, implementation remains uneven, especially in rural areas where contextual limitations</w:t>
      </w:r>
      <w:r w:rsidR="006B312B">
        <w:rPr>
          <w:rFonts w:ascii="Times New Roman" w:hAnsi="Times New Roman" w:cs="Times New Roman"/>
          <w:sz w:val="24"/>
          <w:szCs w:val="24"/>
        </w:rPr>
        <w:t xml:space="preserve"> </w:t>
      </w:r>
      <w:r w:rsidRPr="00E304DD">
        <w:rPr>
          <w:rFonts w:ascii="Times New Roman" w:hAnsi="Times New Roman" w:cs="Times New Roman"/>
          <w:sz w:val="24"/>
          <w:szCs w:val="24"/>
        </w:rPr>
        <w:t>such as geographic remoteness, limited funding, and insufficient professional development</w:t>
      </w:r>
      <w:r w:rsidR="006B312B">
        <w:rPr>
          <w:rFonts w:ascii="Times New Roman" w:hAnsi="Times New Roman" w:cs="Times New Roman"/>
          <w:sz w:val="24"/>
          <w:szCs w:val="24"/>
        </w:rPr>
        <w:t xml:space="preserve"> </w:t>
      </w:r>
      <w:r w:rsidRPr="00E304DD">
        <w:rPr>
          <w:rFonts w:ascii="Times New Roman" w:hAnsi="Times New Roman" w:cs="Times New Roman"/>
          <w:sz w:val="24"/>
          <w:szCs w:val="24"/>
        </w:rPr>
        <w:t xml:space="preserve">pose ongoing challenges (Cabrera &amp; </w:t>
      </w:r>
      <w:proofErr w:type="spellStart"/>
      <w:r w:rsidRPr="00E304DD">
        <w:rPr>
          <w:rFonts w:ascii="Times New Roman" w:hAnsi="Times New Roman" w:cs="Times New Roman"/>
          <w:sz w:val="24"/>
          <w:szCs w:val="24"/>
        </w:rPr>
        <w:t>Cayubit</w:t>
      </w:r>
      <w:proofErr w:type="spellEnd"/>
      <w:r w:rsidRPr="00E304DD">
        <w:rPr>
          <w:rFonts w:ascii="Times New Roman" w:hAnsi="Times New Roman" w:cs="Times New Roman"/>
          <w:sz w:val="24"/>
          <w:szCs w:val="24"/>
        </w:rPr>
        <w:t xml:space="preserve">, 2023; Bautista, Bernardo, &amp; Ocampo, 2021). Prior studies have underscored the importance of leadership capacity, community participation, and </w:t>
      </w:r>
      <w:r w:rsidRPr="00E304DD">
        <w:rPr>
          <w:rFonts w:ascii="Times New Roman" w:hAnsi="Times New Roman" w:cs="Times New Roman"/>
          <w:sz w:val="24"/>
          <w:szCs w:val="24"/>
        </w:rPr>
        <w:lastRenderedPageBreak/>
        <w:t>accountability structures as drivers of effective SBM (Schleicher, 2020; Gurr, Drysdale, &amp; Goode, 2021). However, much of the literature focuses on urban or well-resourced schools, leaving a gap in understanding how SBM unfolds in geographically isolated and disadvantaged communities.</w:t>
      </w:r>
    </w:p>
    <w:p w14:paraId="6F2FE99C" w14:textId="66C31E12" w:rsidR="00E304DD" w:rsidRDefault="00E304DD" w:rsidP="00E304DD">
      <w:pPr>
        <w:spacing w:after="0" w:line="276" w:lineRule="auto"/>
        <w:ind w:firstLine="720"/>
        <w:jc w:val="both"/>
        <w:rPr>
          <w:rFonts w:ascii="Times New Roman" w:hAnsi="Times New Roman" w:cs="Times New Roman"/>
          <w:sz w:val="24"/>
          <w:szCs w:val="24"/>
        </w:rPr>
      </w:pPr>
      <w:r w:rsidRPr="00E304DD">
        <w:rPr>
          <w:rFonts w:ascii="Times New Roman" w:hAnsi="Times New Roman" w:cs="Times New Roman"/>
          <w:sz w:val="24"/>
          <w:szCs w:val="24"/>
        </w:rPr>
        <w:t>This study aim</w:t>
      </w:r>
      <w:r w:rsidR="00BB6F1D">
        <w:rPr>
          <w:rFonts w:ascii="Times New Roman" w:hAnsi="Times New Roman" w:cs="Times New Roman"/>
          <w:sz w:val="24"/>
          <w:szCs w:val="24"/>
        </w:rPr>
        <w:t>ed</w:t>
      </w:r>
      <w:r w:rsidRPr="00E304DD">
        <w:rPr>
          <w:rFonts w:ascii="Times New Roman" w:hAnsi="Times New Roman" w:cs="Times New Roman"/>
          <w:sz w:val="24"/>
          <w:szCs w:val="24"/>
        </w:rPr>
        <w:t xml:space="preserve"> to address that gap by examining the implementation of SBM in elementary schools in the Oras East District of Eastern Samar</w:t>
      </w:r>
      <w:r w:rsidR="00BB6F1D">
        <w:rPr>
          <w:rFonts w:ascii="Times New Roman" w:hAnsi="Times New Roman" w:cs="Times New Roman"/>
          <w:sz w:val="24"/>
          <w:szCs w:val="24"/>
        </w:rPr>
        <w:t xml:space="preserve"> – a </w:t>
      </w:r>
      <w:r w:rsidRPr="00E304DD">
        <w:rPr>
          <w:rFonts w:ascii="Times New Roman" w:hAnsi="Times New Roman" w:cs="Times New Roman"/>
          <w:sz w:val="24"/>
          <w:szCs w:val="24"/>
        </w:rPr>
        <w:t>rural setting with unique socioeconomic and logistical constraints. Specifically, the research assesse</w:t>
      </w:r>
      <w:r w:rsidR="00BB6F1D">
        <w:rPr>
          <w:rFonts w:ascii="Times New Roman" w:hAnsi="Times New Roman" w:cs="Times New Roman"/>
          <w:sz w:val="24"/>
          <w:szCs w:val="24"/>
        </w:rPr>
        <w:t>d</w:t>
      </w:r>
      <w:r w:rsidRPr="00E304DD">
        <w:rPr>
          <w:rFonts w:ascii="Times New Roman" w:hAnsi="Times New Roman" w:cs="Times New Roman"/>
          <w:sz w:val="24"/>
          <w:szCs w:val="24"/>
        </w:rPr>
        <w:t xml:space="preserve"> the perceived effectiveness of SBM practices across four domains: leadership and governance, curriculum and learning, accountability and continuous improvement, and resource management. It also explore</w:t>
      </w:r>
      <w:r w:rsidR="00BB6F1D">
        <w:rPr>
          <w:rFonts w:ascii="Times New Roman" w:hAnsi="Times New Roman" w:cs="Times New Roman"/>
          <w:sz w:val="24"/>
          <w:szCs w:val="24"/>
        </w:rPr>
        <w:t>d</w:t>
      </w:r>
      <w:r w:rsidRPr="00E304DD">
        <w:rPr>
          <w:rFonts w:ascii="Times New Roman" w:hAnsi="Times New Roman" w:cs="Times New Roman"/>
          <w:sz w:val="24"/>
          <w:szCs w:val="24"/>
        </w:rPr>
        <w:t xml:space="preserve"> the challenges encountered and best practices adopted by stakeholders, with the goal of informing policy and practice in similar rural education contexts.</w:t>
      </w:r>
    </w:p>
    <w:p w14:paraId="080746DD" w14:textId="77777777" w:rsidR="0097527C" w:rsidRDefault="0097527C" w:rsidP="0097527C">
      <w:pPr>
        <w:spacing w:after="0" w:line="276" w:lineRule="auto"/>
        <w:jc w:val="both"/>
        <w:rPr>
          <w:rFonts w:ascii="Times New Roman" w:hAnsi="Times New Roman" w:cs="Times New Roman"/>
          <w:sz w:val="24"/>
          <w:szCs w:val="24"/>
        </w:rPr>
      </w:pPr>
    </w:p>
    <w:p w14:paraId="0BECF6A0" w14:textId="7B478330" w:rsidR="0097527C" w:rsidRPr="0097527C" w:rsidRDefault="0097527C" w:rsidP="0097527C">
      <w:pPr>
        <w:spacing w:after="0" w:line="276" w:lineRule="auto"/>
        <w:jc w:val="center"/>
        <w:rPr>
          <w:rFonts w:ascii="Times New Roman" w:hAnsi="Times New Roman" w:cs="Times New Roman"/>
          <w:b/>
          <w:bCs/>
          <w:sz w:val="28"/>
          <w:szCs w:val="28"/>
        </w:rPr>
      </w:pPr>
      <w:r w:rsidRPr="0097527C">
        <w:rPr>
          <w:rFonts w:ascii="Times New Roman" w:hAnsi="Times New Roman" w:cs="Times New Roman"/>
          <w:b/>
          <w:bCs/>
          <w:sz w:val="28"/>
          <w:szCs w:val="28"/>
        </w:rPr>
        <w:t>LITERATURE REVIEW</w:t>
      </w:r>
    </w:p>
    <w:p w14:paraId="0D9DDBBE" w14:textId="77777777" w:rsidR="0097527C" w:rsidRDefault="0097527C" w:rsidP="0097527C">
      <w:pPr>
        <w:spacing w:after="0" w:line="276" w:lineRule="auto"/>
        <w:jc w:val="both"/>
        <w:rPr>
          <w:rFonts w:ascii="Times New Roman" w:hAnsi="Times New Roman" w:cs="Times New Roman"/>
          <w:sz w:val="24"/>
          <w:szCs w:val="24"/>
        </w:rPr>
      </w:pPr>
    </w:p>
    <w:p w14:paraId="3F16D900" w14:textId="511AD658" w:rsidR="0097527C" w:rsidRPr="0097527C" w:rsidRDefault="0097527C" w:rsidP="0097527C">
      <w:pPr>
        <w:spacing w:after="0" w:line="276" w:lineRule="auto"/>
        <w:ind w:firstLine="720"/>
        <w:jc w:val="both"/>
        <w:rPr>
          <w:rFonts w:ascii="Times New Roman" w:hAnsi="Times New Roman" w:cs="Times New Roman"/>
          <w:sz w:val="24"/>
          <w:szCs w:val="24"/>
        </w:rPr>
      </w:pPr>
      <w:r w:rsidRPr="0097527C">
        <w:rPr>
          <w:rFonts w:ascii="Times New Roman" w:hAnsi="Times New Roman" w:cs="Times New Roman"/>
          <w:sz w:val="24"/>
          <w:szCs w:val="24"/>
        </w:rPr>
        <w:t>School-Based Management (SBM) is a decentralized education reform model that transfers decision-making authority from central offices to individual schools, thereby promoting transparency, stakeholder participation, and local accountability (World Bank, 2021). SBM is widely adopted in various countries as a strategy to improve learning outcomes, enhance resource utilization, and increase community involvement (Bruns, Filmer, &amp; Patrinos, 2019). In the Philippines, SBM was institutionalized through Republic Act 9155 and further reinforced by DepEd's national framework (DepEd, 2022), aiming to empower schools to become more effective and self-managing.</w:t>
      </w:r>
    </w:p>
    <w:p w14:paraId="6A8FA492" w14:textId="77777777" w:rsidR="0097527C" w:rsidRPr="0097527C" w:rsidRDefault="0097527C" w:rsidP="0097527C">
      <w:pPr>
        <w:spacing w:after="0" w:line="276" w:lineRule="auto"/>
        <w:jc w:val="both"/>
        <w:rPr>
          <w:rFonts w:ascii="Times New Roman" w:hAnsi="Times New Roman" w:cs="Times New Roman"/>
          <w:sz w:val="24"/>
          <w:szCs w:val="24"/>
        </w:rPr>
      </w:pPr>
    </w:p>
    <w:p w14:paraId="23A9717F" w14:textId="77777777" w:rsidR="0097527C" w:rsidRPr="0097527C" w:rsidRDefault="0097527C" w:rsidP="0097527C">
      <w:pPr>
        <w:spacing w:after="0" w:line="276" w:lineRule="auto"/>
        <w:jc w:val="both"/>
        <w:rPr>
          <w:rFonts w:ascii="Times New Roman" w:hAnsi="Times New Roman" w:cs="Times New Roman"/>
          <w:b/>
          <w:bCs/>
          <w:sz w:val="24"/>
          <w:szCs w:val="24"/>
        </w:rPr>
      </w:pPr>
      <w:r w:rsidRPr="0097527C">
        <w:rPr>
          <w:rFonts w:ascii="Times New Roman" w:hAnsi="Times New Roman" w:cs="Times New Roman"/>
          <w:b/>
          <w:bCs/>
          <w:sz w:val="24"/>
          <w:szCs w:val="24"/>
        </w:rPr>
        <w:t>Leadership and Governance</w:t>
      </w:r>
    </w:p>
    <w:p w14:paraId="3673E3AA" w14:textId="77777777" w:rsidR="0097527C" w:rsidRPr="0097527C" w:rsidRDefault="0097527C" w:rsidP="0097527C">
      <w:pPr>
        <w:spacing w:after="0" w:line="276" w:lineRule="auto"/>
        <w:ind w:firstLine="720"/>
        <w:jc w:val="both"/>
        <w:rPr>
          <w:rFonts w:ascii="Times New Roman" w:hAnsi="Times New Roman" w:cs="Times New Roman"/>
          <w:sz w:val="24"/>
          <w:szCs w:val="24"/>
        </w:rPr>
      </w:pPr>
      <w:r w:rsidRPr="0097527C">
        <w:rPr>
          <w:rFonts w:ascii="Times New Roman" w:hAnsi="Times New Roman" w:cs="Times New Roman"/>
          <w:sz w:val="24"/>
          <w:szCs w:val="24"/>
        </w:rPr>
        <w:t xml:space="preserve">Leadership and governance are widely regarded as the most influential pillars of SBM. According to Schleicher (2020), transformational school leadership that promotes shared vision, collaboration, and evidence-based decision-making directly contributes to improved institutional performance. Bush (2020) emphasized that school leaders must serve not only as administrative managers but also as instructional leaders who align people, structures, and values. In the Philippine context, Cabrera and </w:t>
      </w:r>
      <w:proofErr w:type="spellStart"/>
      <w:r w:rsidRPr="0097527C">
        <w:rPr>
          <w:rFonts w:ascii="Times New Roman" w:hAnsi="Times New Roman" w:cs="Times New Roman"/>
          <w:sz w:val="24"/>
          <w:szCs w:val="24"/>
        </w:rPr>
        <w:t>Cayubit</w:t>
      </w:r>
      <w:proofErr w:type="spellEnd"/>
      <w:r w:rsidRPr="0097527C">
        <w:rPr>
          <w:rFonts w:ascii="Times New Roman" w:hAnsi="Times New Roman" w:cs="Times New Roman"/>
          <w:sz w:val="24"/>
          <w:szCs w:val="24"/>
        </w:rPr>
        <w:t xml:space="preserve"> (2023) found that in rural schools where leadership is inclusive and participatory, SBM implementation is more coherent and school morale is significantly higher.</w:t>
      </w:r>
    </w:p>
    <w:p w14:paraId="16F1B206" w14:textId="77777777" w:rsidR="0097527C" w:rsidRPr="0097527C" w:rsidRDefault="0097527C" w:rsidP="0097527C">
      <w:pPr>
        <w:spacing w:after="0" w:line="276" w:lineRule="auto"/>
        <w:jc w:val="both"/>
        <w:rPr>
          <w:rFonts w:ascii="Times New Roman" w:hAnsi="Times New Roman" w:cs="Times New Roman"/>
          <w:sz w:val="24"/>
          <w:szCs w:val="24"/>
        </w:rPr>
      </w:pPr>
    </w:p>
    <w:p w14:paraId="51474BAC" w14:textId="77777777" w:rsidR="0097527C" w:rsidRPr="0097527C" w:rsidRDefault="0097527C" w:rsidP="0097527C">
      <w:pPr>
        <w:spacing w:after="0" w:line="276" w:lineRule="auto"/>
        <w:jc w:val="both"/>
        <w:rPr>
          <w:rFonts w:ascii="Times New Roman" w:hAnsi="Times New Roman" w:cs="Times New Roman"/>
          <w:b/>
          <w:bCs/>
          <w:sz w:val="24"/>
          <w:szCs w:val="24"/>
        </w:rPr>
      </w:pPr>
      <w:r w:rsidRPr="0097527C">
        <w:rPr>
          <w:rFonts w:ascii="Times New Roman" w:hAnsi="Times New Roman" w:cs="Times New Roman"/>
          <w:b/>
          <w:bCs/>
          <w:sz w:val="24"/>
          <w:szCs w:val="24"/>
        </w:rPr>
        <w:t>Curriculum and Learning</w:t>
      </w:r>
    </w:p>
    <w:p w14:paraId="372EE7DE" w14:textId="77777777" w:rsidR="0097527C" w:rsidRPr="0097527C" w:rsidRDefault="0097527C" w:rsidP="0097527C">
      <w:pPr>
        <w:spacing w:after="0" w:line="276" w:lineRule="auto"/>
        <w:ind w:firstLine="720"/>
        <w:jc w:val="both"/>
        <w:rPr>
          <w:rFonts w:ascii="Times New Roman" w:hAnsi="Times New Roman" w:cs="Times New Roman"/>
          <w:sz w:val="24"/>
          <w:szCs w:val="24"/>
        </w:rPr>
      </w:pPr>
      <w:r w:rsidRPr="0097527C">
        <w:rPr>
          <w:rFonts w:ascii="Times New Roman" w:hAnsi="Times New Roman" w:cs="Times New Roman"/>
          <w:sz w:val="24"/>
          <w:szCs w:val="24"/>
        </w:rPr>
        <w:t>One of the goals of SBM is to make curriculum delivery more adaptive to local needs. However, curriculum innovation remains limited in many rural schools due to inadequate professional development and lack of instructional resources (Cheng, 2021). Darling-Hammond et al. (2019) argue that while decentralization allows for contextualized instruction, it requires sustained teacher training and leadership support. In the Philippines, the Department of Education (2021) has encouraged curriculum localization, but implementation varies due to inconsistencies in teacher preparedness and access to development programs.</w:t>
      </w:r>
    </w:p>
    <w:p w14:paraId="1D81F615" w14:textId="77777777" w:rsidR="0097527C" w:rsidRPr="0097527C" w:rsidRDefault="0097527C" w:rsidP="0097527C">
      <w:pPr>
        <w:spacing w:after="0" w:line="276" w:lineRule="auto"/>
        <w:jc w:val="both"/>
        <w:rPr>
          <w:rFonts w:ascii="Times New Roman" w:hAnsi="Times New Roman" w:cs="Times New Roman"/>
          <w:sz w:val="24"/>
          <w:szCs w:val="24"/>
        </w:rPr>
      </w:pPr>
    </w:p>
    <w:p w14:paraId="1DCA5394" w14:textId="77777777" w:rsidR="0097527C" w:rsidRPr="0097527C" w:rsidRDefault="0097527C" w:rsidP="0097527C">
      <w:pPr>
        <w:spacing w:after="0" w:line="276" w:lineRule="auto"/>
        <w:jc w:val="both"/>
        <w:rPr>
          <w:rFonts w:ascii="Times New Roman" w:hAnsi="Times New Roman" w:cs="Times New Roman"/>
          <w:b/>
          <w:bCs/>
          <w:sz w:val="24"/>
          <w:szCs w:val="24"/>
        </w:rPr>
      </w:pPr>
      <w:r w:rsidRPr="0097527C">
        <w:rPr>
          <w:rFonts w:ascii="Times New Roman" w:hAnsi="Times New Roman" w:cs="Times New Roman"/>
          <w:b/>
          <w:bCs/>
          <w:sz w:val="24"/>
          <w:szCs w:val="24"/>
        </w:rPr>
        <w:t>Accountability and Continuous Improvement</w:t>
      </w:r>
    </w:p>
    <w:p w14:paraId="75F52755" w14:textId="77777777" w:rsidR="0097527C" w:rsidRPr="0097527C" w:rsidRDefault="0097527C" w:rsidP="0097527C">
      <w:pPr>
        <w:spacing w:after="0" w:line="276" w:lineRule="auto"/>
        <w:ind w:firstLine="720"/>
        <w:jc w:val="both"/>
        <w:rPr>
          <w:rFonts w:ascii="Times New Roman" w:hAnsi="Times New Roman" w:cs="Times New Roman"/>
          <w:sz w:val="24"/>
          <w:szCs w:val="24"/>
        </w:rPr>
      </w:pPr>
      <w:r w:rsidRPr="0097527C">
        <w:rPr>
          <w:rFonts w:ascii="Times New Roman" w:hAnsi="Times New Roman" w:cs="Times New Roman"/>
          <w:sz w:val="24"/>
          <w:szCs w:val="24"/>
        </w:rPr>
        <w:t>SBM emphasizes the use of school-based assessments, regular planning, and data analysis to inform decision-making. Fullan and Quinn (2020) highlight the need for systemic feedback and peer learning to create a culture of accountability. In rural schools, however, Garcia and Rivera (2023) observed that accountability is often reduced to compliance with forms and documentation, rather than used as a genuine improvement tool. The same study reports a lack of training in data interpretation among school staff, leading to challenges in developing evidence-based school improvement plans.</w:t>
      </w:r>
    </w:p>
    <w:p w14:paraId="58F2EE86" w14:textId="77777777" w:rsidR="0097527C" w:rsidRPr="0097527C" w:rsidRDefault="0097527C" w:rsidP="0097527C">
      <w:pPr>
        <w:spacing w:after="0" w:line="276" w:lineRule="auto"/>
        <w:jc w:val="both"/>
        <w:rPr>
          <w:rFonts w:ascii="Times New Roman" w:hAnsi="Times New Roman" w:cs="Times New Roman"/>
          <w:sz w:val="24"/>
          <w:szCs w:val="24"/>
        </w:rPr>
      </w:pPr>
    </w:p>
    <w:p w14:paraId="7AB57440" w14:textId="6ECA3C1E" w:rsidR="0097527C" w:rsidRPr="0097527C" w:rsidRDefault="0097527C" w:rsidP="0097527C">
      <w:pPr>
        <w:spacing w:after="0" w:line="276" w:lineRule="auto"/>
        <w:jc w:val="both"/>
        <w:rPr>
          <w:rFonts w:ascii="Times New Roman" w:hAnsi="Times New Roman" w:cs="Times New Roman"/>
          <w:b/>
          <w:bCs/>
          <w:sz w:val="24"/>
          <w:szCs w:val="24"/>
        </w:rPr>
      </w:pPr>
      <w:r w:rsidRPr="0097527C">
        <w:rPr>
          <w:rFonts w:ascii="Times New Roman" w:hAnsi="Times New Roman" w:cs="Times New Roman"/>
          <w:b/>
          <w:bCs/>
          <w:sz w:val="24"/>
          <w:szCs w:val="24"/>
        </w:rPr>
        <w:t>Resource Management and Stakeholder Engagement</w:t>
      </w:r>
    </w:p>
    <w:p w14:paraId="1E39B8D5" w14:textId="0553EA2A" w:rsidR="0097527C" w:rsidRPr="0097527C" w:rsidRDefault="0097527C" w:rsidP="0097527C">
      <w:pPr>
        <w:spacing w:after="0" w:line="276" w:lineRule="auto"/>
        <w:ind w:firstLine="720"/>
        <w:jc w:val="both"/>
        <w:rPr>
          <w:rFonts w:ascii="Times New Roman" w:hAnsi="Times New Roman" w:cs="Times New Roman"/>
          <w:sz w:val="24"/>
          <w:szCs w:val="24"/>
        </w:rPr>
      </w:pPr>
      <w:r w:rsidRPr="0097527C">
        <w:rPr>
          <w:rFonts w:ascii="Times New Roman" w:hAnsi="Times New Roman" w:cs="Times New Roman"/>
          <w:sz w:val="24"/>
          <w:szCs w:val="24"/>
        </w:rPr>
        <w:t>Proper resource allocation and stakeholder participation are essential to sustainable SBM. Bautista, Bernardo, and Ocampo (2021) found that despite clear policies, many Philippine schools</w:t>
      </w:r>
      <w:r w:rsidR="006B312B">
        <w:rPr>
          <w:rFonts w:ascii="Times New Roman" w:hAnsi="Times New Roman" w:cs="Times New Roman"/>
          <w:sz w:val="24"/>
          <w:szCs w:val="24"/>
        </w:rPr>
        <w:t xml:space="preserve">, </w:t>
      </w:r>
      <w:r w:rsidRPr="0097527C">
        <w:rPr>
          <w:rFonts w:ascii="Times New Roman" w:hAnsi="Times New Roman" w:cs="Times New Roman"/>
          <w:sz w:val="24"/>
          <w:szCs w:val="24"/>
        </w:rPr>
        <w:t>particularly those in rural regions</w:t>
      </w:r>
      <w:r w:rsidR="006B312B">
        <w:rPr>
          <w:rFonts w:ascii="Times New Roman" w:hAnsi="Times New Roman" w:cs="Times New Roman"/>
          <w:sz w:val="24"/>
          <w:szCs w:val="24"/>
        </w:rPr>
        <w:t xml:space="preserve">, </w:t>
      </w:r>
      <w:r w:rsidRPr="0097527C">
        <w:rPr>
          <w:rFonts w:ascii="Times New Roman" w:hAnsi="Times New Roman" w:cs="Times New Roman"/>
          <w:sz w:val="24"/>
          <w:szCs w:val="24"/>
        </w:rPr>
        <w:t xml:space="preserve">struggle with delayed budget releases and insufficient material support. On the other hand, Palarca and </w:t>
      </w:r>
      <w:proofErr w:type="spellStart"/>
      <w:r w:rsidRPr="0097527C">
        <w:rPr>
          <w:rFonts w:ascii="Times New Roman" w:hAnsi="Times New Roman" w:cs="Times New Roman"/>
          <w:sz w:val="24"/>
          <w:szCs w:val="24"/>
        </w:rPr>
        <w:t>Sumalpong</w:t>
      </w:r>
      <w:proofErr w:type="spellEnd"/>
      <w:r w:rsidRPr="0097527C">
        <w:rPr>
          <w:rFonts w:ascii="Times New Roman" w:hAnsi="Times New Roman" w:cs="Times New Roman"/>
          <w:sz w:val="24"/>
          <w:szCs w:val="24"/>
        </w:rPr>
        <w:t xml:space="preserve"> (2022) noted that schools with active community partnerships, even in low-income areas, were able to mobilize local support for feeding programs, minor infrastructure, and community-based learning initiatives. OECD (2022) reinforces that community trust and shared ownership are critical to resource sustainability under SBM.</w:t>
      </w:r>
    </w:p>
    <w:p w14:paraId="27748757" w14:textId="77777777" w:rsidR="0097527C" w:rsidRPr="0097527C" w:rsidRDefault="0097527C" w:rsidP="0097527C">
      <w:pPr>
        <w:spacing w:after="0" w:line="276" w:lineRule="auto"/>
        <w:jc w:val="both"/>
        <w:rPr>
          <w:rFonts w:ascii="Times New Roman" w:hAnsi="Times New Roman" w:cs="Times New Roman"/>
          <w:sz w:val="24"/>
          <w:szCs w:val="24"/>
        </w:rPr>
      </w:pPr>
    </w:p>
    <w:p w14:paraId="3C78E4C7" w14:textId="77777777" w:rsidR="0097527C" w:rsidRPr="0097527C" w:rsidRDefault="0097527C" w:rsidP="0097527C">
      <w:pPr>
        <w:spacing w:after="0" w:line="276" w:lineRule="auto"/>
        <w:jc w:val="both"/>
        <w:rPr>
          <w:rFonts w:ascii="Times New Roman" w:hAnsi="Times New Roman" w:cs="Times New Roman"/>
          <w:b/>
          <w:bCs/>
          <w:sz w:val="24"/>
          <w:szCs w:val="24"/>
        </w:rPr>
      </w:pPr>
      <w:r w:rsidRPr="0097527C">
        <w:rPr>
          <w:rFonts w:ascii="Times New Roman" w:hAnsi="Times New Roman" w:cs="Times New Roman"/>
          <w:b/>
          <w:bCs/>
          <w:sz w:val="24"/>
          <w:szCs w:val="24"/>
        </w:rPr>
        <w:t>Challenges in Implementing SBM</w:t>
      </w:r>
    </w:p>
    <w:p w14:paraId="04ED8DC6" w14:textId="77777777" w:rsidR="0097527C" w:rsidRPr="0097527C" w:rsidRDefault="0097527C" w:rsidP="0097527C">
      <w:pPr>
        <w:spacing w:after="0" w:line="276" w:lineRule="auto"/>
        <w:ind w:firstLine="720"/>
        <w:jc w:val="both"/>
        <w:rPr>
          <w:rFonts w:ascii="Times New Roman" w:hAnsi="Times New Roman" w:cs="Times New Roman"/>
          <w:sz w:val="24"/>
          <w:szCs w:val="24"/>
        </w:rPr>
      </w:pPr>
      <w:r w:rsidRPr="0097527C">
        <w:rPr>
          <w:rFonts w:ascii="Times New Roman" w:hAnsi="Times New Roman" w:cs="Times New Roman"/>
          <w:sz w:val="24"/>
          <w:szCs w:val="24"/>
        </w:rPr>
        <w:t xml:space="preserve">Various challenges continue to hinder the full realization of SBM objectives, especially in underserved regions. Among the most frequently cited are the lack of financial and material resources (Bruns et al., 2019; Bautista et al., 2021), weak stakeholder participation (Palarca &amp; </w:t>
      </w:r>
      <w:proofErr w:type="spellStart"/>
      <w:r w:rsidRPr="0097527C">
        <w:rPr>
          <w:rFonts w:ascii="Times New Roman" w:hAnsi="Times New Roman" w:cs="Times New Roman"/>
          <w:sz w:val="24"/>
          <w:szCs w:val="24"/>
        </w:rPr>
        <w:t>Sumalpong</w:t>
      </w:r>
      <w:proofErr w:type="spellEnd"/>
      <w:r w:rsidRPr="0097527C">
        <w:rPr>
          <w:rFonts w:ascii="Times New Roman" w:hAnsi="Times New Roman" w:cs="Times New Roman"/>
          <w:sz w:val="24"/>
          <w:szCs w:val="24"/>
        </w:rPr>
        <w:t>, 2022), limited access to professional development (Cheng, 2021), and overburdened administrative tasks (Garcia &amp; Rivera, 2023). Moreover, leadership turnover and inconsistencies in LGU support contribute to stalled implementation in some areas. These challenges are particularly pronounced in geographically isolated and disadvantaged schools, where SBM often relies on the individual capacities of school heads and teachers rather than systemic support.</w:t>
      </w:r>
    </w:p>
    <w:p w14:paraId="2864927D" w14:textId="77777777" w:rsidR="0097527C" w:rsidRPr="0097527C" w:rsidRDefault="0097527C" w:rsidP="0097527C">
      <w:pPr>
        <w:spacing w:after="0" w:line="276" w:lineRule="auto"/>
        <w:jc w:val="both"/>
        <w:rPr>
          <w:rFonts w:ascii="Times New Roman" w:hAnsi="Times New Roman" w:cs="Times New Roman"/>
          <w:sz w:val="24"/>
          <w:szCs w:val="24"/>
        </w:rPr>
      </w:pPr>
    </w:p>
    <w:p w14:paraId="355489AC" w14:textId="77777777" w:rsidR="0097527C" w:rsidRPr="0097527C" w:rsidRDefault="0097527C" w:rsidP="0097527C">
      <w:pPr>
        <w:spacing w:after="0" w:line="276" w:lineRule="auto"/>
        <w:jc w:val="both"/>
        <w:rPr>
          <w:rFonts w:ascii="Times New Roman" w:hAnsi="Times New Roman" w:cs="Times New Roman"/>
          <w:b/>
          <w:bCs/>
          <w:sz w:val="24"/>
          <w:szCs w:val="24"/>
        </w:rPr>
      </w:pPr>
      <w:r w:rsidRPr="0097527C">
        <w:rPr>
          <w:rFonts w:ascii="Times New Roman" w:hAnsi="Times New Roman" w:cs="Times New Roman"/>
          <w:b/>
          <w:bCs/>
          <w:sz w:val="24"/>
          <w:szCs w:val="24"/>
        </w:rPr>
        <w:t>Best Practices in SBM Implementation</w:t>
      </w:r>
    </w:p>
    <w:p w14:paraId="30E50EBC" w14:textId="0732512C" w:rsidR="0097527C" w:rsidRDefault="0097527C" w:rsidP="0097527C">
      <w:pPr>
        <w:spacing w:after="0" w:line="276" w:lineRule="auto"/>
        <w:ind w:firstLine="720"/>
        <w:jc w:val="both"/>
        <w:rPr>
          <w:rFonts w:ascii="Times New Roman" w:hAnsi="Times New Roman" w:cs="Times New Roman"/>
          <w:sz w:val="24"/>
          <w:szCs w:val="24"/>
        </w:rPr>
      </w:pPr>
      <w:r w:rsidRPr="0097527C">
        <w:rPr>
          <w:rFonts w:ascii="Times New Roman" w:hAnsi="Times New Roman" w:cs="Times New Roman"/>
          <w:sz w:val="24"/>
          <w:szCs w:val="24"/>
        </w:rPr>
        <w:t xml:space="preserve">Despite these barriers, several best practices have emerged in literature. Schleicher (2020) and Gurr et al. (2021) identified collaborative governance, teacher empowerment, and data-informed planning as central to effective SBM. Successful schools often integrate school improvement planning with teacher mentoring and community engagement. Harris and Jones (2019) stressed the value of professional learning communities and structured feedback loops in building shared accountability. In the Philippine setting, Cabrera and </w:t>
      </w:r>
      <w:proofErr w:type="spellStart"/>
      <w:r w:rsidRPr="0097527C">
        <w:rPr>
          <w:rFonts w:ascii="Times New Roman" w:hAnsi="Times New Roman" w:cs="Times New Roman"/>
          <w:sz w:val="24"/>
          <w:szCs w:val="24"/>
        </w:rPr>
        <w:t>Cayubit</w:t>
      </w:r>
      <w:proofErr w:type="spellEnd"/>
      <w:r w:rsidRPr="0097527C">
        <w:rPr>
          <w:rFonts w:ascii="Times New Roman" w:hAnsi="Times New Roman" w:cs="Times New Roman"/>
          <w:sz w:val="24"/>
          <w:szCs w:val="24"/>
        </w:rPr>
        <w:t xml:space="preserve"> (2023) found that schools that institutionalized regular stakeholder consultations, maintained budget transparency, and fostered school-community trust exhibited stronger implementation outcomes. These practices serve as benchmarks for other schools in similar contexts.</w:t>
      </w:r>
    </w:p>
    <w:p w14:paraId="2AAA1702" w14:textId="77777777" w:rsidR="007B791D" w:rsidRDefault="007B791D" w:rsidP="00A131B5">
      <w:pPr>
        <w:spacing w:after="0" w:line="276" w:lineRule="auto"/>
        <w:ind w:firstLine="720"/>
        <w:jc w:val="both"/>
        <w:rPr>
          <w:rFonts w:ascii="Times New Roman" w:hAnsi="Times New Roman" w:cs="Times New Roman"/>
          <w:sz w:val="24"/>
          <w:szCs w:val="24"/>
        </w:rPr>
      </w:pPr>
    </w:p>
    <w:p w14:paraId="6B2159F9" w14:textId="0AEA426D" w:rsidR="00C14B2A" w:rsidRPr="00803EFA" w:rsidRDefault="00BB6F1D" w:rsidP="00803EFA">
      <w:pPr>
        <w:spacing w:after="0" w:line="276" w:lineRule="auto"/>
        <w:jc w:val="center"/>
        <w:rPr>
          <w:rFonts w:ascii="Times New Roman" w:hAnsi="Times New Roman" w:cs="Times New Roman"/>
          <w:b/>
          <w:bCs/>
          <w:sz w:val="28"/>
          <w:szCs w:val="28"/>
        </w:rPr>
      </w:pPr>
      <w:r w:rsidRPr="00803EFA">
        <w:rPr>
          <w:rFonts w:ascii="Times New Roman" w:hAnsi="Times New Roman" w:cs="Times New Roman"/>
          <w:b/>
          <w:bCs/>
          <w:sz w:val="28"/>
          <w:szCs w:val="28"/>
        </w:rPr>
        <w:t>METHODOLOGY</w:t>
      </w:r>
    </w:p>
    <w:p w14:paraId="1ECE1F42" w14:textId="77777777" w:rsidR="00E66DC1" w:rsidRDefault="00E66DC1" w:rsidP="00C14B2A">
      <w:pPr>
        <w:spacing w:after="0" w:line="276" w:lineRule="auto"/>
        <w:jc w:val="both"/>
        <w:rPr>
          <w:rFonts w:ascii="Times New Roman" w:hAnsi="Times New Roman" w:cs="Times New Roman"/>
          <w:i/>
          <w:iCs/>
          <w:sz w:val="24"/>
          <w:szCs w:val="24"/>
        </w:rPr>
      </w:pPr>
    </w:p>
    <w:p w14:paraId="5C1025A2" w14:textId="77777777" w:rsidR="00E304DD" w:rsidRPr="00E304DD" w:rsidRDefault="00E304DD" w:rsidP="00E304DD">
      <w:pPr>
        <w:spacing w:after="0" w:line="276" w:lineRule="auto"/>
        <w:ind w:firstLine="720"/>
        <w:jc w:val="both"/>
        <w:rPr>
          <w:rFonts w:ascii="Times New Roman" w:hAnsi="Times New Roman" w:cs="Times New Roman"/>
          <w:sz w:val="24"/>
          <w:szCs w:val="24"/>
        </w:rPr>
      </w:pPr>
      <w:r w:rsidRPr="00E304DD">
        <w:rPr>
          <w:rFonts w:ascii="Times New Roman" w:hAnsi="Times New Roman" w:cs="Times New Roman"/>
          <w:sz w:val="24"/>
          <w:szCs w:val="24"/>
        </w:rPr>
        <w:t>This study employed a descriptive quantitative research design to assess the level of School-Based Management (SBM) implementation and identify perceived challenges and best practices among elementary schools in the Oras East District, Eastern Samar, Philippines. The research focused on four SBM dimensions established by the Department of Education (2022): leadership and governance, curriculum and learning, accountability and continuous improvement, and resource management.</w:t>
      </w:r>
    </w:p>
    <w:p w14:paraId="2E892852" w14:textId="77777777" w:rsidR="00BB6F1D" w:rsidRDefault="00E304DD" w:rsidP="00E304DD">
      <w:pPr>
        <w:spacing w:after="0" w:line="276" w:lineRule="auto"/>
        <w:ind w:firstLine="720"/>
        <w:jc w:val="both"/>
        <w:rPr>
          <w:rFonts w:ascii="Times New Roman" w:hAnsi="Times New Roman" w:cs="Times New Roman"/>
          <w:sz w:val="24"/>
          <w:szCs w:val="24"/>
        </w:rPr>
      </w:pPr>
      <w:r w:rsidRPr="00E304DD">
        <w:rPr>
          <w:rFonts w:ascii="Times New Roman" w:hAnsi="Times New Roman" w:cs="Times New Roman"/>
          <w:sz w:val="24"/>
          <w:szCs w:val="24"/>
        </w:rPr>
        <w:t>A structured survey questionnaire, adapted from the national SBM Assessment Tool and relevant studies</w:t>
      </w:r>
      <w:r w:rsidR="00BB6F1D">
        <w:rPr>
          <w:rFonts w:ascii="Times New Roman" w:hAnsi="Times New Roman" w:cs="Times New Roman"/>
          <w:sz w:val="24"/>
          <w:szCs w:val="24"/>
        </w:rPr>
        <w:t xml:space="preserve"> (</w:t>
      </w:r>
      <w:r w:rsidRPr="00E304DD">
        <w:rPr>
          <w:rFonts w:ascii="Times New Roman" w:hAnsi="Times New Roman" w:cs="Times New Roman"/>
          <w:sz w:val="24"/>
          <w:szCs w:val="24"/>
        </w:rPr>
        <w:t xml:space="preserve">Cabrera &amp; </w:t>
      </w:r>
      <w:proofErr w:type="spellStart"/>
      <w:r w:rsidRPr="00E304DD">
        <w:rPr>
          <w:rFonts w:ascii="Times New Roman" w:hAnsi="Times New Roman" w:cs="Times New Roman"/>
          <w:sz w:val="24"/>
          <w:szCs w:val="24"/>
        </w:rPr>
        <w:t>Cayubit</w:t>
      </w:r>
      <w:proofErr w:type="spellEnd"/>
      <w:r w:rsidRPr="00E304DD">
        <w:rPr>
          <w:rFonts w:ascii="Times New Roman" w:hAnsi="Times New Roman" w:cs="Times New Roman"/>
          <w:sz w:val="24"/>
          <w:szCs w:val="24"/>
        </w:rPr>
        <w:t xml:space="preserve">, 2023; Garcia &amp; Rivera, 2023), served as the primary data collection instrument. The tool contained twelve Likert-scale items (rated from 1 = strongly disagree to 5 = strongly agree) aligned with the four SBM domains, as well as open-ended questions to elicit qualitative responses on challenges and best practices. </w:t>
      </w:r>
    </w:p>
    <w:p w14:paraId="4BE30822" w14:textId="2F320F7E" w:rsidR="00E304DD" w:rsidRPr="00E304DD" w:rsidRDefault="00E304DD" w:rsidP="00E304DD">
      <w:pPr>
        <w:spacing w:after="0" w:line="276" w:lineRule="auto"/>
        <w:ind w:firstLine="720"/>
        <w:jc w:val="both"/>
        <w:rPr>
          <w:rFonts w:ascii="Times New Roman" w:hAnsi="Times New Roman" w:cs="Times New Roman"/>
          <w:sz w:val="24"/>
          <w:szCs w:val="24"/>
        </w:rPr>
      </w:pPr>
      <w:r w:rsidRPr="00E304DD">
        <w:rPr>
          <w:rFonts w:ascii="Times New Roman" w:hAnsi="Times New Roman" w:cs="Times New Roman"/>
          <w:sz w:val="24"/>
          <w:szCs w:val="24"/>
        </w:rPr>
        <w:t>The study employed stratified purposive sampling, targeting 10 elementary schools across the district. A total of 100 respondents participated, comprising 10 school heads, 50 teachers, and 40 parents or community stakeholders who were directly involved in SBM-related activities. This approach ensured representation from key stakeholder groups actively engaged in school governance.</w:t>
      </w:r>
    </w:p>
    <w:p w14:paraId="30EB7C61" w14:textId="77777777" w:rsidR="00E304DD" w:rsidRDefault="00E304DD" w:rsidP="00E304DD">
      <w:pPr>
        <w:spacing w:after="0" w:line="276" w:lineRule="auto"/>
        <w:ind w:firstLine="720"/>
        <w:jc w:val="both"/>
        <w:rPr>
          <w:rFonts w:ascii="Times New Roman" w:hAnsi="Times New Roman" w:cs="Times New Roman"/>
          <w:sz w:val="24"/>
          <w:szCs w:val="24"/>
        </w:rPr>
      </w:pPr>
      <w:r w:rsidRPr="00E304DD">
        <w:rPr>
          <w:rFonts w:ascii="Times New Roman" w:hAnsi="Times New Roman" w:cs="Times New Roman"/>
          <w:sz w:val="24"/>
          <w:szCs w:val="24"/>
        </w:rPr>
        <w:t>Descriptive statistics, including means and standard deviations, were used to determine the level of SBM implementation per domain. Responses to open-ended questions were analyzed using content analysis to identify recurring themes related to implementation barriers and effective practices. Ethical clearance was obtained from relevant school authorities, and all participants provided informed consent prior to the data collection.</w:t>
      </w:r>
    </w:p>
    <w:p w14:paraId="0E1D3FF6" w14:textId="77777777" w:rsidR="00C14B2A" w:rsidRDefault="00C14B2A" w:rsidP="00C14B2A">
      <w:pPr>
        <w:spacing w:after="0" w:line="276" w:lineRule="auto"/>
        <w:jc w:val="both"/>
        <w:rPr>
          <w:rFonts w:ascii="Times New Roman" w:hAnsi="Times New Roman" w:cs="Times New Roman"/>
          <w:sz w:val="24"/>
          <w:szCs w:val="24"/>
        </w:rPr>
      </w:pPr>
    </w:p>
    <w:p w14:paraId="151612EB" w14:textId="77777777" w:rsidR="00724288" w:rsidRPr="00C14B2A" w:rsidRDefault="00724288" w:rsidP="00C14B2A">
      <w:pPr>
        <w:spacing w:after="0" w:line="276" w:lineRule="auto"/>
        <w:jc w:val="both"/>
        <w:rPr>
          <w:rFonts w:ascii="Times New Roman" w:hAnsi="Times New Roman" w:cs="Times New Roman"/>
          <w:sz w:val="24"/>
          <w:szCs w:val="24"/>
        </w:rPr>
      </w:pPr>
    </w:p>
    <w:p w14:paraId="086FE442" w14:textId="4FFC5054" w:rsidR="00145E1A" w:rsidRPr="00803EFA" w:rsidRDefault="00BB6F1D" w:rsidP="00803EFA">
      <w:pPr>
        <w:spacing w:after="0" w:line="276" w:lineRule="auto"/>
        <w:jc w:val="center"/>
        <w:rPr>
          <w:rFonts w:ascii="Times New Roman" w:hAnsi="Times New Roman" w:cs="Times New Roman"/>
          <w:b/>
          <w:bCs/>
          <w:sz w:val="28"/>
          <w:szCs w:val="28"/>
        </w:rPr>
      </w:pPr>
      <w:r w:rsidRPr="00803EFA">
        <w:rPr>
          <w:rFonts w:ascii="Times New Roman" w:hAnsi="Times New Roman" w:cs="Times New Roman"/>
          <w:b/>
          <w:bCs/>
          <w:sz w:val="28"/>
          <w:szCs w:val="28"/>
        </w:rPr>
        <w:t>RESULTS AND DISCUSSION</w:t>
      </w:r>
    </w:p>
    <w:p w14:paraId="47947618" w14:textId="77777777" w:rsidR="00145E1A" w:rsidRPr="00C14B2A" w:rsidRDefault="00145E1A" w:rsidP="00622D71">
      <w:pPr>
        <w:spacing w:after="0" w:line="276" w:lineRule="auto"/>
        <w:jc w:val="center"/>
        <w:rPr>
          <w:rFonts w:ascii="Times New Roman" w:hAnsi="Times New Roman" w:cs="Times New Roman"/>
          <w:b/>
          <w:bCs/>
          <w:sz w:val="24"/>
          <w:szCs w:val="24"/>
        </w:rPr>
      </w:pPr>
    </w:p>
    <w:p w14:paraId="0939BE8A" w14:textId="5D64D350" w:rsidR="00D174BD" w:rsidRPr="00D174BD" w:rsidRDefault="00D174BD" w:rsidP="00D174BD">
      <w:pPr>
        <w:spacing w:after="0"/>
        <w:jc w:val="both"/>
        <w:rPr>
          <w:rFonts w:ascii="Times New Roman" w:hAnsi="Times New Roman" w:cs="Times New Roman"/>
          <w:b/>
          <w:bCs/>
          <w:sz w:val="24"/>
          <w:szCs w:val="24"/>
          <w:lang w:val="en-US"/>
        </w:rPr>
      </w:pPr>
      <w:r w:rsidRPr="00D174BD">
        <w:rPr>
          <w:rFonts w:ascii="Times New Roman" w:hAnsi="Times New Roman" w:cs="Times New Roman"/>
          <w:b/>
          <w:bCs/>
          <w:sz w:val="24"/>
          <w:szCs w:val="24"/>
        </w:rPr>
        <w:t xml:space="preserve">Level of Implementation of School-Based Management </w:t>
      </w:r>
    </w:p>
    <w:p w14:paraId="2ACF3B28" w14:textId="3187602F" w:rsidR="009367B4" w:rsidRDefault="00705CB4" w:rsidP="009367B4">
      <w:pPr>
        <w:spacing w:after="0"/>
        <w:ind w:firstLine="720"/>
        <w:jc w:val="both"/>
        <w:rPr>
          <w:rFonts w:ascii="Times New Roman" w:hAnsi="Times New Roman" w:cs="Times New Roman"/>
          <w:sz w:val="24"/>
          <w:szCs w:val="24"/>
        </w:rPr>
      </w:pPr>
      <w:r w:rsidRPr="00705CB4">
        <w:rPr>
          <w:rFonts w:ascii="Times New Roman" w:hAnsi="Times New Roman" w:cs="Times New Roman"/>
          <w:sz w:val="24"/>
          <w:szCs w:val="24"/>
          <w:lang w:val="en-US"/>
        </w:rPr>
        <w:t xml:space="preserve">The implementation of School-Based Management (SBM) across elementary schools in the </w:t>
      </w:r>
      <w:proofErr w:type="spellStart"/>
      <w:r w:rsidRPr="00705CB4">
        <w:rPr>
          <w:rFonts w:ascii="Times New Roman" w:hAnsi="Times New Roman" w:cs="Times New Roman"/>
          <w:sz w:val="24"/>
          <w:szCs w:val="24"/>
          <w:lang w:val="en-US"/>
        </w:rPr>
        <w:t>Oras</w:t>
      </w:r>
      <w:proofErr w:type="spellEnd"/>
      <w:r w:rsidRPr="00705CB4">
        <w:rPr>
          <w:rFonts w:ascii="Times New Roman" w:hAnsi="Times New Roman" w:cs="Times New Roman"/>
          <w:sz w:val="24"/>
          <w:szCs w:val="24"/>
          <w:lang w:val="en-US"/>
        </w:rPr>
        <w:t xml:space="preserve"> East District was examined through four key domains: leadership and governance, curriculum and learning, accountability and continuous improvement, and resource management. Table 1 presents the overall mean and standard deviation scores for each domain</w:t>
      </w:r>
      <w:r w:rsidR="006B312B">
        <w:rPr>
          <w:rFonts w:ascii="Times New Roman" w:hAnsi="Times New Roman" w:cs="Times New Roman"/>
          <w:sz w:val="24"/>
          <w:szCs w:val="24"/>
          <w:lang w:val="en-US"/>
        </w:rPr>
        <w:t>,</w:t>
      </w:r>
      <w:r w:rsidR="0097527C">
        <w:rPr>
          <w:rFonts w:ascii="Times New Roman" w:hAnsi="Times New Roman" w:cs="Times New Roman"/>
          <w:sz w:val="24"/>
          <w:szCs w:val="24"/>
          <w:lang w:val="en-US"/>
        </w:rPr>
        <w:t xml:space="preserve"> while </w:t>
      </w:r>
      <w:r w:rsidR="0097527C" w:rsidRPr="009367B4">
        <w:rPr>
          <w:rFonts w:ascii="Times New Roman" w:hAnsi="Times New Roman" w:cs="Times New Roman"/>
          <w:sz w:val="24"/>
          <w:szCs w:val="24"/>
        </w:rPr>
        <w:t xml:space="preserve">Table 2 shows the variation in ratings by stakeholder role. </w:t>
      </w:r>
      <w:r w:rsidR="00020B0D" w:rsidRPr="00E304DD">
        <w:rPr>
          <w:rFonts w:ascii="Times New Roman" w:hAnsi="Times New Roman" w:cs="Times New Roman"/>
          <w:sz w:val="24"/>
          <w:szCs w:val="24"/>
        </w:rPr>
        <w:t xml:space="preserve">The findings revealed that School-Based Management (SBM) was generally perceived as positively implemented across all four domains. </w:t>
      </w:r>
    </w:p>
    <w:p w14:paraId="228C5C1C" w14:textId="77777777" w:rsidR="009F6FB2" w:rsidRPr="00705CB4" w:rsidRDefault="009F6FB2" w:rsidP="009F6FB2">
      <w:pPr>
        <w:pStyle w:val="Heading2"/>
        <w:jc w:val="center"/>
        <w:rPr>
          <w:rFonts w:ascii="Times New Roman" w:hAnsi="Times New Roman" w:cs="Times New Roman"/>
          <w:color w:val="auto"/>
          <w:sz w:val="22"/>
          <w:szCs w:val="22"/>
        </w:rPr>
      </w:pPr>
      <w:r>
        <w:rPr>
          <w:rFonts w:ascii="Times New Roman" w:hAnsi="Times New Roman" w:cs="Times New Roman"/>
          <w:color w:val="auto"/>
          <w:sz w:val="22"/>
          <w:szCs w:val="22"/>
        </w:rPr>
        <w:t xml:space="preserve"> </w:t>
      </w:r>
      <w:r w:rsidRPr="00705CB4">
        <w:rPr>
          <w:rFonts w:ascii="Times New Roman" w:hAnsi="Times New Roman" w:cs="Times New Roman"/>
          <w:color w:val="auto"/>
          <w:sz w:val="22"/>
          <w:szCs w:val="22"/>
        </w:rPr>
        <w:t>Table 1. Mean and Standard Deviation per SBM Domain</w:t>
      </w:r>
    </w:p>
    <w:tbl>
      <w:tblPr>
        <w:tblStyle w:val="TableGrid"/>
        <w:tblW w:w="0" w:type="auto"/>
        <w:tblInd w:w="240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2"/>
        <w:gridCol w:w="1134"/>
        <w:gridCol w:w="1192"/>
      </w:tblGrid>
      <w:tr w:rsidR="009F6FB2" w:rsidRPr="00705CB4" w14:paraId="73402DFA" w14:textId="77777777" w:rsidTr="00724288">
        <w:trPr>
          <w:trHeight w:val="253"/>
        </w:trPr>
        <w:tc>
          <w:tcPr>
            <w:tcW w:w="3202" w:type="dxa"/>
            <w:hideMark/>
          </w:tcPr>
          <w:p w14:paraId="7DB65564" w14:textId="77777777" w:rsidR="009F6FB2" w:rsidRPr="00705CB4" w:rsidRDefault="009F6FB2" w:rsidP="008439B2">
            <w:pPr>
              <w:jc w:val="center"/>
              <w:rPr>
                <w:rFonts w:ascii="Times New Roman" w:hAnsi="Times New Roman" w:cs="Times New Roman"/>
                <w:b/>
                <w:bCs/>
              </w:rPr>
            </w:pPr>
            <w:r w:rsidRPr="00705CB4">
              <w:rPr>
                <w:rFonts w:ascii="Times New Roman" w:hAnsi="Times New Roman" w:cs="Times New Roman"/>
                <w:b/>
                <w:bCs/>
              </w:rPr>
              <w:t>SBM Domain</w:t>
            </w:r>
          </w:p>
        </w:tc>
        <w:tc>
          <w:tcPr>
            <w:tcW w:w="1134" w:type="dxa"/>
            <w:hideMark/>
          </w:tcPr>
          <w:p w14:paraId="56F6D882" w14:textId="77777777" w:rsidR="009F6FB2" w:rsidRPr="00705CB4" w:rsidRDefault="009F6FB2" w:rsidP="008439B2">
            <w:pPr>
              <w:jc w:val="center"/>
              <w:rPr>
                <w:rFonts w:ascii="Times New Roman" w:hAnsi="Times New Roman" w:cs="Times New Roman"/>
                <w:b/>
                <w:bCs/>
              </w:rPr>
            </w:pPr>
            <w:r w:rsidRPr="00705CB4">
              <w:rPr>
                <w:rFonts w:ascii="Times New Roman" w:hAnsi="Times New Roman" w:cs="Times New Roman"/>
                <w:b/>
                <w:bCs/>
              </w:rPr>
              <w:t>Mean</w:t>
            </w:r>
          </w:p>
        </w:tc>
        <w:tc>
          <w:tcPr>
            <w:tcW w:w="1192" w:type="dxa"/>
            <w:hideMark/>
          </w:tcPr>
          <w:p w14:paraId="56DCE4BE" w14:textId="49F8FA41" w:rsidR="009F6FB2" w:rsidRPr="00705CB4" w:rsidRDefault="009F6FB2" w:rsidP="008439B2">
            <w:pPr>
              <w:jc w:val="center"/>
              <w:rPr>
                <w:rFonts w:ascii="Times New Roman" w:hAnsi="Times New Roman" w:cs="Times New Roman"/>
                <w:b/>
                <w:bCs/>
              </w:rPr>
            </w:pPr>
            <w:r w:rsidRPr="00705CB4">
              <w:rPr>
                <w:rFonts w:ascii="Times New Roman" w:hAnsi="Times New Roman" w:cs="Times New Roman"/>
                <w:b/>
                <w:bCs/>
              </w:rPr>
              <w:t>S</w:t>
            </w:r>
            <w:r w:rsidR="00724288">
              <w:rPr>
                <w:rFonts w:ascii="Times New Roman" w:hAnsi="Times New Roman" w:cs="Times New Roman"/>
                <w:b/>
                <w:bCs/>
              </w:rPr>
              <w:t>D</w:t>
            </w:r>
          </w:p>
        </w:tc>
      </w:tr>
      <w:tr w:rsidR="009F6FB2" w:rsidRPr="00705CB4" w14:paraId="6D6D5874" w14:textId="77777777" w:rsidTr="00724288">
        <w:trPr>
          <w:trHeight w:val="253"/>
        </w:trPr>
        <w:tc>
          <w:tcPr>
            <w:tcW w:w="3202" w:type="dxa"/>
            <w:hideMark/>
          </w:tcPr>
          <w:p w14:paraId="0030D1AD" w14:textId="77777777" w:rsidR="009F6FB2" w:rsidRPr="00705CB4" w:rsidRDefault="009F6FB2" w:rsidP="008439B2">
            <w:pPr>
              <w:rPr>
                <w:rFonts w:ascii="Times New Roman" w:hAnsi="Times New Roman" w:cs="Times New Roman"/>
              </w:rPr>
            </w:pPr>
            <w:r w:rsidRPr="00705CB4">
              <w:rPr>
                <w:rFonts w:ascii="Times New Roman" w:hAnsi="Times New Roman" w:cs="Times New Roman"/>
              </w:rPr>
              <w:t>Leadership and Governance</w:t>
            </w:r>
          </w:p>
        </w:tc>
        <w:tc>
          <w:tcPr>
            <w:tcW w:w="1134" w:type="dxa"/>
            <w:hideMark/>
          </w:tcPr>
          <w:p w14:paraId="6BE88514" w14:textId="77777777" w:rsidR="009F6FB2" w:rsidRPr="00705CB4" w:rsidRDefault="009F6FB2" w:rsidP="008439B2">
            <w:pPr>
              <w:jc w:val="center"/>
              <w:rPr>
                <w:rFonts w:ascii="Times New Roman" w:hAnsi="Times New Roman" w:cs="Times New Roman"/>
              </w:rPr>
            </w:pPr>
            <w:r w:rsidRPr="00705CB4">
              <w:rPr>
                <w:rFonts w:ascii="Times New Roman" w:hAnsi="Times New Roman" w:cs="Times New Roman"/>
              </w:rPr>
              <w:t>4.34</w:t>
            </w:r>
          </w:p>
        </w:tc>
        <w:tc>
          <w:tcPr>
            <w:tcW w:w="1192" w:type="dxa"/>
            <w:hideMark/>
          </w:tcPr>
          <w:p w14:paraId="5246490D" w14:textId="77777777" w:rsidR="009F6FB2" w:rsidRPr="00705CB4" w:rsidRDefault="009F6FB2" w:rsidP="008439B2">
            <w:pPr>
              <w:jc w:val="center"/>
              <w:rPr>
                <w:rFonts w:ascii="Times New Roman" w:hAnsi="Times New Roman" w:cs="Times New Roman"/>
              </w:rPr>
            </w:pPr>
            <w:r w:rsidRPr="00705CB4">
              <w:rPr>
                <w:rFonts w:ascii="Times New Roman" w:hAnsi="Times New Roman" w:cs="Times New Roman"/>
              </w:rPr>
              <w:t>0.58</w:t>
            </w:r>
          </w:p>
        </w:tc>
      </w:tr>
      <w:tr w:rsidR="009F6FB2" w:rsidRPr="00705CB4" w14:paraId="2ABF0EFE" w14:textId="77777777" w:rsidTr="00724288">
        <w:trPr>
          <w:trHeight w:val="253"/>
        </w:trPr>
        <w:tc>
          <w:tcPr>
            <w:tcW w:w="3202" w:type="dxa"/>
            <w:hideMark/>
          </w:tcPr>
          <w:p w14:paraId="16E74717" w14:textId="77777777" w:rsidR="009F6FB2" w:rsidRPr="00705CB4" w:rsidRDefault="009F6FB2" w:rsidP="008439B2">
            <w:pPr>
              <w:rPr>
                <w:rFonts w:ascii="Times New Roman" w:hAnsi="Times New Roman" w:cs="Times New Roman"/>
              </w:rPr>
            </w:pPr>
            <w:r w:rsidRPr="00705CB4">
              <w:rPr>
                <w:rFonts w:ascii="Times New Roman" w:hAnsi="Times New Roman" w:cs="Times New Roman"/>
              </w:rPr>
              <w:t>Curriculum and Learning</w:t>
            </w:r>
          </w:p>
        </w:tc>
        <w:tc>
          <w:tcPr>
            <w:tcW w:w="1134" w:type="dxa"/>
            <w:hideMark/>
          </w:tcPr>
          <w:p w14:paraId="419EF507" w14:textId="77777777" w:rsidR="009F6FB2" w:rsidRPr="00705CB4" w:rsidRDefault="009F6FB2" w:rsidP="008439B2">
            <w:pPr>
              <w:jc w:val="center"/>
              <w:rPr>
                <w:rFonts w:ascii="Times New Roman" w:hAnsi="Times New Roman" w:cs="Times New Roman"/>
              </w:rPr>
            </w:pPr>
            <w:r w:rsidRPr="00705CB4">
              <w:rPr>
                <w:rFonts w:ascii="Times New Roman" w:hAnsi="Times New Roman" w:cs="Times New Roman"/>
              </w:rPr>
              <w:t>4.11</w:t>
            </w:r>
          </w:p>
        </w:tc>
        <w:tc>
          <w:tcPr>
            <w:tcW w:w="1192" w:type="dxa"/>
            <w:hideMark/>
          </w:tcPr>
          <w:p w14:paraId="0A2AE5D0" w14:textId="77777777" w:rsidR="009F6FB2" w:rsidRPr="00705CB4" w:rsidRDefault="009F6FB2" w:rsidP="008439B2">
            <w:pPr>
              <w:jc w:val="center"/>
              <w:rPr>
                <w:rFonts w:ascii="Times New Roman" w:hAnsi="Times New Roman" w:cs="Times New Roman"/>
              </w:rPr>
            </w:pPr>
            <w:r w:rsidRPr="00705CB4">
              <w:rPr>
                <w:rFonts w:ascii="Times New Roman" w:hAnsi="Times New Roman" w:cs="Times New Roman"/>
              </w:rPr>
              <w:t>0.66</w:t>
            </w:r>
          </w:p>
        </w:tc>
      </w:tr>
      <w:tr w:rsidR="009F6FB2" w:rsidRPr="00705CB4" w14:paraId="7F3B8590" w14:textId="77777777" w:rsidTr="00724288">
        <w:trPr>
          <w:trHeight w:val="507"/>
        </w:trPr>
        <w:tc>
          <w:tcPr>
            <w:tcW w:w="3202" w:type="dxa"/>
            <w:hideMark/>
          </w:tcPr>
          <w:p w14:paraId="7EAEE31D" w14:textId="77777777" w:rsidR="009F6FB2" w:rsidRPr="00705CB4" w:rsidRDefault="009F6FB2" w:rsidP="008439B2">
            <w:pPr>
              <w:rPr>
                <w:rFonts w:ascii="Times New Roman" w:hAnsi="Times New Roman" w:cs="Times New Roman"/>
              </w:rPr>
            </w:pPr>
            <w:r w:rsidRPr="00705CB4">
              <w:rPr>
                <w:rFonts w:ascii="Times New Roman" w:hAnsi="Times New Roman" w:cs="Times New Roman"/>
              </w:rPr>
              <w:t>Accountability and Continuous Improvement</w:t>
            </w:r>
          </w:p>
        </w:tc>
        <w:tc>
          <w:tcPr>
            <w:tcW w:w="1134" w:type="dxa"/>
            <w:hideMark/>
          </w:tcPr>
          <w:p w14:paraId="164BBC42" w14:textId="77777777" w:rsidR="009F6FB2" w:rsidRPr="00705CB4" w:rsidRDefault="009F6FB2" w:rsidP="008439B2">
            <w:pPr>
              <w:jc w:val="center"/>
              <w:rPr>
                <w:rFonts w:ascii="Times New Roman" w:hAnsi="Times New Roman" w:cs="Times New Roman"/>
              </w:rPr>
            </w:pPr>
            <w:r w:rsidRPr="00705CB4">
              <w:rPr>
                <w:rFonts w:ascii="Times New Roman" w:hAnsi="Times New Roman" w:cs="Times New Roman"/>
              </w:rPr>
              <w:t>4.21</w:t>
            </w:r>
          </w:p>
        </w:tc>
        <w:tc>
          <w:tcPr>
            <w:tcW w:w="1192" w:type="dxa"/>
            <w:hideMark/>
          </w:tcPr>
          <w:p w14:paraId="7281F907" w14:textId="77777777" w:rsidR="009F6FB2" w:rsidRPr="00705CB4" w:rsidRDefault="009F6FB2" w:rsidP="008439B2">
            <w:pPr>
              <w:jc w:val="center"/>
              <w:rPr>
                <w:rFonts w:ascii="Times New Roman" w:hAnsi="Times New Roman" w:cs="Times New Roman"/>
              </w:rPr>
            </w:pPr>
            <w:r w:rsidRPr="00705CB4">
              <w:rPr>
                <w:rFonts w:ascii="Times New Roman" w:hAnsi="Times New Roman" w:cs="Times New Roman"/>
              </w:rPr>
              <w:t>0.57</w:t>
            </w:r>
          </w:p>
        </w:tc>
      </w:tr>
      <w:tr w:rsidR="009F6FB2" w:rsidRPr="00705CB4" w14:paraId="376706BF" w14:textId="77777777" w:rsidTr="00724288">
        <w:trPr>
          <w:trHeight w:val="241"/>
        </w:trPr>
        <w:tc>
          <w:tcPr>
            <w:tcW w:w="3202" w:type="dxa"/>
            <w:hideMark/>
          </w:tcPr>
          <w:p w14:paraId="297FE79D" w14:textId="77777777" w:rsidR="009F6FB2" w:rsidRPr="00705CB4" w:rsidRDefault="009F6FB2" w:rsidP="008439B2">
            <w:pPr>
              <w:rPr>
                <w:rFonts w:ascii="Times New Roman" w:hAnsi="Times New Roman" w:cs="Times New Roman"/>
              </w:rPr>
            </w:pPr>
            <w:r w:rsidRPr="00705CB4">
              <w:rPr>
                <w:rFonts w:ascii="Times New Roman" w:hAnsi="Times New Roman" w:cs="Times New Roman"/>
              </w:rPr>
              <w:t>Resource Management</w:t>
            </w:r>
          </w:p>
        </w:tc>
        <w:tc>
          <w:tcPr>
            <w:tcW w:w="1134" w:type="dxa"/>
            <w:hideMark/>
          </w:tcPr>
          <w:p w14:paraId="2AE54715" w14:textId="77777777" w:rsidR="009F6FB2" w:rsidRPr="00705CB4" w:rsidRDefault="009F6FB2" w:rsidP="008439B2">
            <w:pPr>
              <w:jc w:val="center"/>
              <w:rPr>
                <w:rFonts w:ascii="Times New Roman" w:hAnsi="Times New Roman" w:cs="Times New Roman"/>
              </w:rPr>
            </w:pPr>
            <w:r w:rsidRPr="00705CB4">
              <w:rPr>
                <w:rFonts w:ascii="Times New Roman" w:hAnsi="Times New Roman" w:cs="Times New Roman"/>
              </w:rPr>
              <w:t>4.11</w:t>
            </w:r>
          </w:p>
        </w:tc>
        <w:tc>
          <w:tcPr>
            <w:tcW w:w="1192" w:type="dxa"/>
            <w:hideMark/>
          </w:tcPr>
          <w:p w14:paraId="38E4AA53" w14:textId="77777777" w:rsidR="009F6FB2" w:rsidRPr="00705CB4" w:rsidRDefault="009F6FB2" w:rsidP="008439B2">
            <w:pPr>
              <w:jc w:val="center"/>
              <w:rPr>
                <w:rFonts w:ascii="Times New Roman" w:hAnsi="Times New Roman" w:cs="Times New Roman"/>
              </w:rPr>
            </w:pPr>
            <w:r w:rsidRPr="00705CB4">
              <w:rPr>
                <w:rFonts w:ascii="Times New Roman" w:hAnsi="Times New Roman" w:cs="Times New Roman"/>
              </w:rPr>
              <w:t>0.73</w:t>
            </w:r>
          </w:p>
        </w:tc>
      </w:tr>
    </w:tbl>
    <w:p w14:paraId="16E1AF70" w14:textId="77777777" w:rsidR="009F6FB2" w:rsidRDefault="009F6FB2" w:rsidP="00020B0D">
      <w:pPr>
        <w:spacing w:after="0"/>
        <w:jc w:val="both"/>
        <w:rPr>
          <w:rFonts w:ascii="Times New Roman" w:hAnsi="Times New Roman" w:cs="Times New Roman"/>
          <w:sz w:val="24"/>
          <w:szCs w:val="24"/>
        </w:rPr>
      </w:pPr>
    </w:p>
    <w:p w14:paraId="2B2C4B58" w14:textId="77777777" w:rsidR="00020B0D" w:rsidRPr="00D174BD" w:rsidRDefault="00020B0D" w:rsidP="00020B0D">
      <w:pPr>
        <w:spacing w:after="0"/>
        <w:jc w:val="both"/>
        <w:rPr>
          <w:rFonts w:ascii="Times New Roman" w:hAnsi="Times New Roman" w:cs="Times New Roman"/>
          <w:i/>
          <w:iCs/>
          <w:sz w:val="24"/>
          <w:szCs w:val="24"/>
        </w:rPr>
      </w:pPr>
      <w:r w:rsidRPr="00D174BD">
        <w:rPr>
          <w:rFonts w:ascii="Times New Roman" w:hAnsi="Times New Roman" w:cs="Times New Roman"/>
          <w:i/>
          <w:iCs/>
          <w:sz w:val="24"/>
          <w:szCs w:val="24"/>
        </w:rPr>
        <w:t>Leadership and Governance</w:t>
      </w:r>
    </w:p>
    <w:p w14:paraId="5D534BF4" w14:textId="1E52DA29" w:rsidR="00020B0D" w:rsidRDefault="00020B0D" w:rsidP="00020B0D">
      <w:pPr>
        <w:spacing w:after="0"/>
        <w:jc w:val="both"/>
        <w:rPr>
          <w:rFonts w:ascii="Times New Roman" w:hAnsi="Times New Roman" w:cs="Times New Roman"/>
          <w:sz w:val="24"/>
          <w:szCs w:val="24"/>
        </w:rPr>
      </w:pPr>
      <w:r>
        <w:rPr>
          <w:rFonts w:ascii="Times New Roman" w:hAnsi="Times New Roman" w:cs="Times New Roman"/>
          <w:sz w:val="24"/>
          <w:szCs w:val="24"/>
        </w:rPr>
        <w:tab/>
      </w:r>
      <w:r w:rsidRPr="00A22F24">
        <w:rPr>
          <w:rFonts w:ascii="Times New Roman" w:hAnsi="Times New Roman" w:cs="Times New Roman"/>
          <w:sz w:val="24"/>
          <w:szCs w:val="24"/>
        </w:rPr>
        <w:t xml:space="preserve">Among all SBM domains, leadership and governance received the highest mean score of 4.34, as shown in Table 1, suggesting that school heads in Oras East District are perceived to be effective in establishing shared vision, transparency, and collaborative decision-making. School heads themselves rated this domain </w:t>
      </w:r>
      <w:r w:rsidRPr="00E304DD">
        <w:rPr>
          <w:rFonts w:ascii="Times New Roman" w:hAnsi="Times New Roman" w:cs="Times New Roman"/>
          <w:sz w:val="24"/>
          <w:szCs w:val="24"/>
        </w:rPr>
        <w:t xml:space="preserve">most favorably (M = </w:t>
      </w:r>
      <w:r>
        <w:rPr>
          <w:rFonts w:ascii="Times New Roman" w:hAnsi="Times New Roman" w:cs="Times New Roman"/>
          <w:sz w:val="24"/>
          <w:szCs w:val="24"/>
        </w:rPr>
        <w:t>4</w:t>
      </w:r>
      <w:r w:rsidRPr="00E304DD">
        <w:rPr>
          <w:rFonts w:ascii="Times New Roman" w:hAnsi="Times New Roman" w:cs="Times New Roman"/>
          <w:sz w:val="24"/>
          <w:szCs w:val="24"/>
        </w:rPr>
        <w:t>.</w:t>
      </w:r>
      <w:r>
        <w:rPr>
          <w:rFonts w:ascii="Times New Roman" w:hAnsi="Times New Roman" w:cs="Times New Roman"/>
          <w:sz w:val="24"/>
          <w:szCs w:val="24"/>
        </w:rPr>
        <w:t>85</w:t>
      </w:r>
      <w:r w:rsidRPr="00E304DD">
        <w:rPr>
          <w:rFonts w:ascii="Times New Roman" w:hAnsi="Times New Roman" w:cs="Times New Roman"/>
          <w:sz w:val="24"/>
          <w:szCs w:val="24"/>
        </w:rPr>
        <w:t>),</w:t>
      </w:r>
      <w:r w:rsidRPr="00A22F24">
        <w:rPr>
          <w:rFonts w:ascii="Times New Roman" w:hAnsi="Times New Roman" w:cs="Times New Roman"/>
          <w:sz w:val="24"/>
          <w:szCs w:val="24"/>
        </w:rPr>
        <w:t xml:space="preserve"> while teachers and parents offered slightly lower but still favorable ratings </w:t>
      </w:r>
      <w:r w:rsidRPr="00E304DD">
        <w:rPr>
          <w:rFonts w:ascii="Times New Roman" w:hAnsi="Times New Roman" w:cs="Times New Roman"/>
          <w:sz w:val="24"/>
          <w:szCs w:val="24"/>
        </w:rPr>
        <w:t>(M = 4.1</w:t>
      </w:r>
      <w:r>
        <w:rPr>
          <w:rFonts w:ascii="Times New Roman" w:hAnsi="Times New Roman" w:cs="Times New Roman"/>
          <w:sz w:val="24"/>
          <w:szCs w:val="24"/>
        </w:rPr>
        <w:t>1</w:t>
      </w:r>
      <w:r w:rsidRPr="00E304DD">
        <w:rPr>
          <w:rFonts w:ascii="Times New Roman" w:hAnsi="Times New Roman" w:cs="Times New Roman"/>
          <w:sz w:val="24"/>
          <w:szCs w:val="24"/>
        </w:rPr>
        <w:t xml:space="preserve"> and 4.50, respectively)</w:t>
      </w:r>
      <w:r w:rsidR="006B312B">
        <w:rPr>
          <w:rFonts w:ascii="Times New Roman" w:hAnsi="Times New Roman" w:cs="Times New Roman"/>
          <w:sz w:val="24"/>
          <w:szCs w:val="24"/>
        </w:rPr>
        <w:t>,</w:t>
      </w:r>
      <w:r>
        <w:rPr>
          <w:rFonts w:ascii="Times New Roman" w:hAnsi="Times New Roman" w:cs="Times New Roman"/>
          <w:sz w:val="24"/>
          <w:szCs w:val="24"/>
        </w:rPr>
        <w:t xml:space="preserve"> </w:t>
      </w:r>
      <w:r w:rsidRPr="00A22F24">
        <w:rPr>
          <w:rFonts w:ascii="Times New Roman" w:hAnsi="Times New Roman" w:cs="Times New Roman"/>
          <w:sz w:val="24"/>
          <w:szCs w:val="24"/>
        </w:rPr>
        <w:t>as illustrated in Table 2</w:t>
      </w:r>
      <w:r>
        <w:rPr>
          <w:rFonts w:ascii="Times New Roman" w:hAnsi="Times New Roman" w:cs="Times New Roman"/>
          <w:sz w:val="24"/>
          <w:szCs w:val="24"/>
        </w:rPr>
        <w:t xml:space="preserve">. </w:t>
      </w:r>
      <w:r w:rsidRPr="00A22F24">
        <w:rPr>
          <w:rFonts w:ascii="Times New Roman" w:hAnsi="Times New Roman" w:cs="Times New Roman"/>
          <w:sz w:val="24"/>
          <w:szCs w:val="24"/>
        </w:rPr>
        <w:t xml:space="preserve">These findings are consistent with Schleicher (2020), who emphasized that participatory leadership and clear strategic direction are critical in successful SBM systems. Bush (2020) also supports this, identifying leadership as a key enabling factor for aligning school structures and fostering a culture of accountability. In rural Philippine settings, Cabrera and </w:t>
      </w:r>
      <w:proofErr w:type="spellStart"/>
      <w:r w:rsidRPr="00A22F24">
        <w:rPr>
          <w:rFonts w:ascii="Times New Roman" w:hAnsi="Times New Roman" w:cs="Times New Roman"/>
          <w:sz w:val="24"/>
          <w:szCs w:val="24"/>
        </w:rPr>
        <w:t>Cayubit</w:t>
      </w:r>
      <w:proofErr w:type="spellEnd"/>
      <w:r w:rsidRPr="00A22F24">
        <w:rPr>
          <w:rFonts w:ascii="Times New Roman" w:hAnsi="Times New Roman" w:cs="Times New Roman"/>
          <w:sz w:val="24"/>
          <w:szCs w:val="24"/>
        </w:rPr>
        <w:t xml:space="preserve"> (2023) found similar outcomes: school heads who actively involve stakeholders tend to produce more coherent and responsive school improvement plans. Thus, the present study’s findings reinforce the notion that strong school leadership is central to effective SBM.</w:t>
      </w:r>
    </w:p>
    <w:p w14:paraId="7A374D74" w14:textId="77777777" w:rsidR="009F6FB2" w:rsidRPr="00705CB4" w:rsidRDefault="009F6FB2" w:rsidP="009F6FB2">
      <w:pPr>
        <w:pStyle w:val="Heading2"/>
        <w:rPr>
          <w:rFonts w:ascii="Times New Roman" w:hAnsi="Times New Roman" w:cs="Times New Roman"/>
          <w:color w:val="auto"/>
          <w:sz w:val="22"/>
          <w:szCs w:val="22"/>
        </w:rPr>
      </w:pPr>
      <w:r>
        <w:rPr>
          <w:rFonts w:ascii="Times New Roman" w:hAnsi="Times New Roman" w:cs="Times New Roman"/>
          <w:color w:val="auto"/>
          <w:sz w:val="22"/>
          <w:szCs w:val="22"/>
        </w:rPr>
        <w:t xml:space="preserve">       </w:t>
      </w:r>
      <w:r w:rsidRPr="00705CB4">
        <w:rPr>
          <w:rFonts w:ascii="Times New Roman" w:hAnsi="Times New Roman" w:cs="Times New Roman"/>
          <w:color w:val="auto"/>
          <w:sz w:val="22"/>
          <w:szCs w:val="22"/>
        </w:rPr>
        <w:t>Table 2. Mean Ratings per SBM Domain by Stakeholder Group</w:t>
      </w:r>
    </w:p>
    <w:tbl>
      <w:tblPr>
        <w:tblStyle w:val="TableGrid"/>
        <w:tblW w:w="0" w:type="auto"/>
        <w:jc w:val="center"/>
        <w:tblInd w:w="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7"/>
        <w:gridCol w:w="1867"/>
        <w:gridCol w:w="1867"/>
        <w:gridCol w:w="1867"/>
        <w:gridCol w:w="1867"/>
      </w:tblGrid>
      <w:tr w:rsidR="009F6FB2" w:rsidRPr="00705CB4" w14:paraId="5470881E" w14:textId="77777777" w:rsidTr="00724288">
        <w:trPr>
          <w:trHeight w:val="756"/>
          <w:jc w:val="center"/>
        </w:trPr>
        <w:tc>
          <w:tcPr>
            <w:tcW w:w="1867" w:type="dxa"/>
            <w:vAlign w:val="center"/>
            <w:hideMark/>
          </w:tcPr>
          <w:p w14:paraId="36A36589" w14:textId="77777777" w:rsidR="009F6FB2" w:rsidRPr="00705CB4" w:rsidRDefault="009F6FB2" w:rsidP="008439B2">
            <w:pPr>
              <w:jc w:val="center"/>
              <w:rPr>
                <w:rFonts w:ascii="Times New Roman" w:hAnsi="Times New Roman" w:cs="Times New Roman"/>
                <w:b/>
                <w:bCs/>
              </w:rPr>
            </w:pPr>
            <w:r w:rsidRPr="00705CB4">
              <w:rPr>
                <w:rFonts w:ascii="Times New Roman" w:hAnsi="Times New Roman" w:cs="Times New Roman"/>
                <w:b/>
                <w:bCs/>
              </w:rPr>
              <w:t>Role</w:t>
            </w:r>
          </w:p>
        </w:tc>
        <w:tc>
          <w:tcPr>
            <w:tcW w:w="1867" w:type="dxa"/>
            <w:vAlign w:val="center"/>
            <w:hideMark/>
          </w:tcPr>
          <w:p w14:paraId="357AFF21" w14:textId="77777777" w:rsidR="009F6FB2" w:rsidRPr="00705CB4" w:rsidRDefault="009F6FB2" w:rsidP="008439B2">
            <w:pPr>
              <w:jc w:val="center"/>
              <w:rPr>
                <w:rFonts w:ascii="Times New Roman" w:hAnsi="Times New Roman" w:cs="Times New Roman"/>
                <w:b/>
                <w:bCs/>
              </w:rPr>
            </w:pPr>
            <w:r w:rsidRPr="00705CB4">
              <w:rPr>
                <w:rFonts w:ascii="Times New Roman" w:hAnsi="Times New Roman" w:cs="Times New Roman"/>
                <w:b/>
                <w:bCs/>
              </w:rPr>
              <w:t>Leadership and Governance</w:t>
            </w:r>
          </w:p>
        </w:tc>
        <w:tc>
          <w:tcPr>
            <w:tcW w:w="1867" w:type="dxa"/>
            <w:vAlign w:val="center"/>
            <w:hideMark/>
          </w:tcPr>
          <w:p w14:paraId="4A9A5DF8" w14:textId="77777777" w:rsidR="009F6FB2" w:rsidRPr="00705CB4" w:rsidRDefault="009F6FB2" w:rsidP="008439B2">
            <w:pPr>
              <w:jc w:val="center"/>
              <w:rPr>
                <w:rFonts w:ascii="Times New Roman" w:hAnsi="Times New Roman" w:cs="Times New Roman"/>
                <w:b/>
                <w:bCs/>
              </w:rPr>
            </w:pPr>
            <w:r w:rsidRPr="00705CB4">
              <w:rPr>
                <w:rFonts w:ascii="Times New Roman" w:hAnsi="Times New Roman" w:cs="Times New Roman"/>
                <w:b/>
                <w:bCs/>
              </w:rPr>
              <w:t>Curriculum and Learning</w:t>
            </w:r>
          </w:p>
        </w:tc>
        <w:tc>
          <w:tcPr>
            <w:tcW w:w="1867" w:type="dxa"/>
            <w:vAlign w:val="center"/>
            <w:hideMark/>
          </w:tcPr>
          <w:p w14:paraId="1F13C9CA" w14:textId="77777777" w:rsidR="009F6FB2" w:rsidRPr="00705CB4" w:rsidRDefault="009F6FB2" w:rsidP="008439B2">
            <w:pPr>
              <w:jc w:val="center"/>
              <w:rPr>
                <w:rFonts w:ascii="Times New Roman" w:hAnsi="Times New Roman" w:cs="Times New Roman"/>
                <w:b/>
                <w:bCs/>
              </w:rPr>
            </w:pPr>
            <w:r w:rsidRPr="00705CB4">
              <w:rPr>
                <w:rFonts w:ascii="Times New Roman" w:hAnsi="Times New Roman" w:cs="Times New Roman"/>
                <w:b/>
                <w:bCs/>
              </w:rPr>
              <w:t>Accountability and Continuous Improvement</w:t>
            </w:r>
          </w:p>
        </w:tc>
        <w:tc>
          <w:tcPr>
            <w:tcW w:w="1867" w:type="dxa"/>
            <w:vAlign w:val="center"/>
            <w:hideMark/>
          </w:tcPr>
          <w:p w14:paraId="553103ED" w14:textId="77777777" w:rsidR="009F6FB2" w:rsidRPr="00705CB4" w:rsidRDefault="009F6FB2" w:rsidP="008439B2">
            <w:pPr>
              <w:jc w:val="center"/>
              <w:rPr>
                <w:rFonts w:ascii="Times New Roman" w:hAnsi="Times New Roman" w:cs="Times New Roman"/>
                <w:b/>
                <w:bCs/>
              </w:rPr>
            </w:pPr>
            <w:r w:rsidRPr="00705CB4">
              <w:rPr>
                <w:rFonts w:ascii="Times New Roman" w:hAnsi="Times New Roman" w:cs="Times New Roman"/>
                <w:b/>
                <w:bCs/>
              </w:rPr>
              <w:t>Resource Management</w:t>
            </w:r>
          </w:p>
        </w:tc>
      </w:tr>
      <w:tr w:rsidR="009F6FB2" w:rsidRPr="00705CB4" w14:paraId="214323C8" w14:textId="77777777" w:rsidTr="00724288">
        <w:trPr>
          <w:trHeight w:val="249"/>
          <w:jc w:val="center"/>
        </w:trPr>
        <w:tc>
          <w:tcPr>
            <w:tcW w:w="1867" w:type="dxa"/>
            <w:hideMark/>
          </w:tcPr>
          <w:p w14:paraId="798D98C6" w14:textId="77777777" w:rsidR="009F6FB2" w:rsidRPr="00705CB4" w:rsidRDefault="009F6FB2" w:rsidP="008439B2">
            <w:pPr>
              <w:jc w:val="both"/>
              <w:rPr>
                <w:rFonts w:ascii="Times New Roman" w:hAnsi="Times New Roman" w:cs="Times New Roman"/>
              </w:rPr>
            </w:pPr>
            <w:r w:rsidRPr="00705CB4">
              <w:rPr>
                <w:rFonts w:ascii="Times New Roman" w:hAnsi="Times New Roman" w:cs="Times New Roman"/>
              </w:rPr>
              <w:t>School Head</w:t>
            </w:r>
          </w:p>
        </w:tc>
        <w:tc>
          <w:tcPr>
            <w:tcW w:w="1867" w:type="dxa"/>
            <w:hideMark/>
          </w:tcPr>
          <w:p w14:paraId="482ADE83" w14:textId="77777777" w:rsidR="009F6FB2" w:rsidRPr="00705CB4" w:rsidRDefault="009F6FB2" w:rsidP="008439B2">
            <w:pPr>
              <w:jc w:val="center"/>
              <w:rPr>
                <w:rFonts w:ascii="Times New Roman" w:hAnsi="Times New Roman" w:cs="Times New Roman"/>
              </w:rPr>
            </w:pPr>
            <w:r w:rsidRPr="00705CB4">
              <w:rPr>
                <w:rFonts w:ascii="Times New Roman" w:hAnsi="Times New Roman" w:cs="Times New Roman"/>
              </w:rPr>
              <w:t>4.85</w:t>
            </w:r>
          </w:p>
        </w:tc>
        <w:tc>
          <w:tcPr>
            <w:tcW w:w="1867" w:type="dxa"/>
            <w:hideMark/>
          </w:tcPr>
          <w:p w14:paraId="2FA727B9" w14:textId="77777777" w:rsidR="009F6FB2" w:rsidRPr="00705CB4" w:rsidRDefault="009F6FB2" w:rsidP="008439B2">
            <w:pPr>
              <w:jc w:val="center"/>
              <w:rPr>
                <w:rFonts w:ascii="Times New Roman" w:hAnsi="Times New Roman" w:cs="Times New Roman"/>
              </w:rPr>
            </w:pPr>
            <w:r w:rsidRPr="00705CB4">
              <w:rPr>
                <w:rFonts w:ascii="Times New Roman" w:hAnsi="Times New Roman" w:cs="Times New Roman"/>
              </w:rPr>
              <w:t>4.56</w:t>
            </w:r>
          </w:p>
        </w:tc>
        <w:tc>
          <w:tcPr>
            <w:tcW w:w="1867" w:type="dxa"/>
            <w:hideMark/>
          </w:tcPr>
          <w:p w14:paraId="3AABBFC5" w14:textId="77777777" w:rsidR="009F6FB2" w:rsidRPr="00705CB4" w:rsidRDefault="009F6FB2" w:rsidP="008439B2">
            <w:pPr>
              <w:jc w:val="center"/>
              <w:rPr>
                <w:rFonts w:ascii="Times New Roman" w:hAnsi="Times New Roman" w:cs="Times New Roman"/>
              </w:rPr>
            </w:pPr>
            <w:r w:rsidRPr="00705CB4">
              <w:rPr>
                <w:rFonts w:ascii="Times New Roman" w:hAnsi="Times New Roman" w:cs="Times New Roman"/>
              </w:rPr>
              <w:t>4.63</w:t>
            </w:r>
          </w:p>
        </w:tc>
        <w:tc>
          <w:tcPr>
            <w:tcW w:w="1867" w:type="dxa"/>
            <w:hideMark/>
          </w:tcPr>
          <w:p w14:paraId="69E8C10E" w14:textId="77777777" w:rsidR="009F6FB2" w:rsidRPr="00705CB4" w:rsidRDefault="009F6FB2" w:rsidP="008439B2">
            <w:pPr>
              <w:jc w:val="center"/>
              <w:rPr>
                <w:rFonts w:ascii="Times New Roman" w:hAnsi="Times New Roman" w:cs="Times New Roman"/>
              </w:rPr>
            </w:pPr>
            <w:r w:rsidRPr="00705CB4">
              <w:rPr>
                <w:rFonts w:ascii="Times New Roman" w:hAnsi="Times New Roman" w:cs="Times New Roman"/>
              </w:rPr>
              <w:t>4.74</w:t>
            </w:r>
          </w:p>
        </w:tc>
      </w:tr>
      <w:tr w:rsidR="009F6FB2" w:rsidRPr="00705CB4" w14:paraId="72EC0F52" w14:textId="77777777" w:rsidTr="00724288">
        <w:trPr>
          <w:trHeight w:val="257"/>
          <w:jc w:val="center"/>
        </w:trPr>
        <w:tc>
          <w:tcPr>
            <w:tcW w:w="1867" w:type="dxa"/>
            <w:hideMark/>
          </w:tcPr>
          <w:p w14:paraId="27C08680" w14:textId="77777777" w:rsidR="009F6FB2" w:rsidRPr="00705CB4" w:rsidRDefault="009F6FB2" w:rsidP="008439B2">
            <w:pPr>
              <w:jc w:val="both"/>
              <w:rPr>
                <w:rFonts w:ascii="Times New Roman" w:hAnsi="Times New Roman" w:cs="Times New Roman"/>
              </w:rPr>
            </w:pPr>
            <w:r w:rsidRPr="00705CB4">
              <w:rPr>
                <w:rFonts w:ascii="Times New Roman" w:hAnsi="Times New Roman" w:cs="Times New Roman"/>
              </w:rPr>
              <w:t>Teacher</w:t>
            </w:r>
          </w:p>
        </w:tc>
        <w:tc>
          <w:tcPr>
            <w:tcW w:w="1867" w:type="dxa"/>
            <w:hideMark/>
          </w:tcPr>
          <w:p w14:paraId="1FF4A3FC" w14:textId="77777777" w:rsidR="009F6FB2" w:rsidRPr="00705CB4" w:rsidRDefault="009F6FB2" w:rsidP="008439B2">
            <w:pPr>
              <w:jc w:val="center"/>
              <w:rPr>
                <w:rFonts w:ascii="Times New Roman" w:hAnsi="Times New Roman" w:cs="Times New Roman"/>
              </w:rPr>
            </w:pPr>
            <w:r w:rsidRPr="00705CB4">
              <w:rPr>
                <w:rFonts w:ascii="Times New Roman" w:hAnsi="Times New Roman" w:cs="Times New Roman"/>
              </w:rPr>
              <w:t>4.11</w:t>
            </w:r>
          </w:p>
        </w:tc>
        <w:tc>
          <w:tcPr>
            <w:tcW w:w="1867" w:type="dxa"/>
            <w:hideMark/>
          </w:tcPr>
          <w:p w14:paraId="0743B8F7" w14:textId="77777777" w:rsidR="009F6FB2" w:rsidRPr="00705CB4" w:rsidRDefault="009F6FB2" w:rsidP="008439B2">
            <w:pPr>
              <w:jc w:val="center"/>
              <w:rPr>
                <w:rFonts w:ascii="Times New Roman" w:hAnsi="Times New Roman" w:cs="Times New Roman"/>
              </w:rPr>
            </w:pPr>
            <w:r w:rsidRPr="00705CB4">
              <w:rPr>
                <w:rFonts w:ascii="Times New Roman" w:hAnsi="Times New Roman" w:cs="Times New Roman"/>
              </w:rPr>
              <w:t>3.92</w:t>
            </w:r>
          </w:p>
        </w:tc>
        <w:tc>
          <w:tcPr>
            <w:tcW w:w="1867" w:type="dxa"/>
            <w:hideMark/>
          </w:tcPr>
          <w:p w14:paraId="4C1B9AF8" w14:textId="77777777" w:rsidR="009F6FB2" w:rsidRPr="00705CB4" w:rsidRDefault="009F6FB2" w:rsidP="008439B2">
            <w:pPr>
              <w:jc w:val="center"/>
              <w:rPr>
                <w:rFonts w:ascii="Times New Roman" w:hAnsi="Times New Roman" w:cs="Times New Roman"/>
              </w:rPr>
            </w:pPr>
            <w:r w:rsidRPr="00705CB4">
              <w:rPr>
                <w:rFonts w:ascii="Times New Roman" w:hAnsi="Times New Roman" w:cs="Times New Roman"/>
              </w:rPr>
              <w:t>4.01</w:t>
            </w:r>
          </w:p>
        </w:tc>
        <w:tc>
          <w:tcPr>
            <w:tcW w:w="1867" w:type="dxa"/>
            <w:hideMark/>
          </w:tcPr>
          <w:p w14:paraId="5A15019F" w14:textId="77777777" w:rsidR="009F6FB2" w:rsidRPr="00705CB4" w:rsidRDefault="009F6FB2" w:rsidP="008439B2">
            <w:pPr>
              <w:jc w:val="center"/>
              <w:rPr>
                <w:rFonts w:ascii="Times New Roman" w:hAnsi="Times New Roman" w:cs="Times New Roman"/>
              </w:rPr>
            </w:pPr>
            <w:r w:rsidRPr="00705CB4">
              <w:rPr>
                <w:rFonts w:ascii="Times New Roman" w:hAnsi="Times New Roman" w:cs="Times New Roman"/>
              </w:rPr>
              <w:t>3.81</w:t>
            </w:r>
          </w:p>
        </w:tc>
      </w:tr>
      <w:tr w:rsidR="00724288" w:rsidRPr="00705CB4" w14:paraId="7AA15346" w14:textId="77777777" w:rsidTr="00724288">
        <w:trPr>
          <w:trHeight w:val="257"/>
          <w:jc w:val="center"/>
        </w:trPr>
        <w:tc>
          <w:tcPr>
            <w:tcW w:w="1867" w:type="dxa"/>
          </w:tcPr>
          <w:p w14:paraId="16C71EF1" w14:textId="71BDE048" w:rsidR="00724288" w:rsidRPr="00705CB4" w:rsidRDefault="00724288" w:rsidP="00724288">
            <w:pPr>
              <w:jc w:val="both"/>
              <w:rPr>
                <w:rFonts w:ascii="Times New Roman" w:hAnsi="Times New Roman" w:cs="Times New Roman"/>
              </w:rPr>
            </w:pPr>
            <w:r w:rsidRPr="00705CB4">
              <w:rPr>
                <w:rFonts w:ascii="Times New Roman" w:hAnsi="Times New Roman" w:cs="Times New Roman"/>
              </w:rPr>
              <w:t>Parent</w:t>
            </w:r>
          </w:p>
        </w:tc>
        <w:tc>
          <w:tcPr>
            <w:tcW w:w="1867" w:type="dxa"/>
          </w:tcPr>
          <w:p w14:paraId="6FFABB98" w14:textId="1C521DB3" w:rsidR="00724288" w:rsidRPr="00705CB4" w:rsidRDefault="00724288" w:rsidP="00724288">
            <w:pPr>
              <w:jc w:val="center"/>
              <w:rPr>
                <w:rFonts w:ascii="Times New Roman" w:hAnsi="Times New Roman" w:cs="Times New Roman"/>
              </w:rPr>
            </w:pPr>
            <w:r w:rsidRPr="00705CB4">
              <w:rPr>
                <w:rFonts w:ascii="Times New Roman" w:hAnsi="Times New Roman" w:cs="Times New Roman"/>
              </w:rPr>
              <w:t>4.5</w:t>
            </w:r>
            <w:r>
              <w:rPr>
                <w:rFonts w:ascii="Times New Roman" w:hAnsi="Times New Roman" w:cs="Times New Roman"/>
              </w:rPr>
              <w:t>0</w:t>
            </w:r>
          </w:p>
        </w:tc>
        <w:tc>
          <w:tcPr>
            <w:tcW w:w="1867" w:type="dxa"/>
          </w:tcPr>
          <w:p w14:paraId="00FBB155" w14:textId="154A131A" w:rsidR="00724288" w:rsidRPr="00705CB4" w:rsidRDefault="00724288" w:rsidP="00724288">
            <w:pPr>
              <w:jc w:val="center"/>
              <w:rPr>
                <w:rFonts w:ascii="Times New Roman" w:hAnsi="Times New Roman" w:cs="Times New Roman"/>
              </w:rPr>
            </w:pPr>
            <w:r w:rsidRPr="00705CB4">
              <w:rPr>
                <w:rFonts w:ascii="Times New Roman" w:hAnsi="Times New Roman" w:cs="Times New Roman"/>
              </w:rPr>
              <w:t>4.22</w:t>
            </w:r>
          </w:p>
        </w:tc>
        <w:tc>
          <w:tcPr>
            <w:tcW w:w="1867" w:type="dxa"/>
          </w:tcPr>
          <w:p w14:paraId="52CEA7C6" w14:textId="55CB9354" w:rsidR="00724288" w:rsidRPr="00705CB4" w:rsidRDefault="00724288" w:rsidP="00724288">
            <w:pPr>
              <w:jc w:val="center"/>
              <w:rPr>
                <w:rFonts w:ascii="Times New Roman" w:hAnsi="Times New Roman" w:cs="Times New Roman"/>
              </w:rPr>
            </w:pPr>
            <w:r w:rsidRPr="00705CB4">
              <w:rPr>
                <w:rFonts w:ascii="Times New Roman" w:hAnsi="Times New Roman" w:cs="Times New Roman"/>
              </w:rPr>
              <w:t>4.33</w:t>
            </w:r>
          </w:p>
        </w:tc>
        <w:tc>
          <w:tcPr>
            <w:tcW w:w="1867" w:type="dxa"/>
          </w:tcPr>
          <w:p w14:paraId="5D0742FA" w14:textId="7DDFD0E8" w:rsidR="00724288" w:rsidRPr="00705CB4" w:rsidRDefault="00724288" w:rsidP="00724288">
            <w:pPr>
              <w:jc w:val="center"/>
              <w:rPr>
                <w:rFonts w:ascii="Times New Roman" w:hAnsi="Times New Roman" w:cs="Times New Roman"/>
              </w:rPr>
            </w:pPr>
            <w:r w:rsidRPr="00705CB4">
              <w:rPr>
                <w:rFonts w:ascii="Times New Roman" w:hAnsi="Times New Roman" w:cs="Times New Roman"/>
              </w:rPr>
              <w:t>4.39</w:t>
            </w:r>
          </w:p>
        </w:tc>
      </w:tr>
    </w:tbl>
    <w:p w14:paraId="65149F78" w14:textId="77777777" w:rsidR="009F6FB2" w:rsidRDefault="009F6FB2" w:rsidP="009F6FB2">
      <w:pPr>
        <w:spacing w:after="0"/>
        <w:jc w:val="both"/>
        <w:rPr>
          <w:rFonts w:ascii="Times New Roman" w:hAnsi="Times New Roman" w:cs="Times New Roman"/>
          <w:sz w:val="24"/>
          <w:szCs w:val="24"/>
        </w:rPr>
      </w:pPr>
    </w:p>
    <w:p w14:paraId="05035016" w14:textId="2FB896E9" w:rsidR="00BB6F1D" w:rsidRDefault="00BB6F1D" w:rsidP="00BB6F1D">
      <w:pPr>
        <w:spacing w:after="0"/>
        <w:jc w:val="both"/>
        <w:rPr>
          <w:rFonts w:ascii="Times New Roman" w:hAnsi="Times New Roman" w:cs="Times New Roman"/>
          <w:sz w:val="24"/>
          <w:szCs w:val="24"/>
        </w:rPr>
      </w:pPr>
      <w:r>
        <w:rPr>
          <w:rFonts w:ascii="Times New Roman" w:hAnsi="Times New Roman" w:cs="Times New Roman"/>
          <w:sz w:val="24"/>
          <w:szCs w:val="24"/>
        </w:rPr>
        <w:tab/>
      </w:r>
    </w:p>
    <w:p w14:paraId="51C9AC33" w14:textId="77777777" w:rsidR="00D51543" w:rsidRPr="00D174BD" w:rsidRDefault="00D51543" w:rsidP="00D51543">
      <w:pPr>
        <w:spacing w:after="0"/>
        <w:jc w:val="both"/>
        <w:rPr>
          <w:rFonts w:ascii="Times New Roman" w:hAnsi="Times New Roman" w:cs="Times New Roman"/>
          <w:i/>
          <w:iCs/>
          <w:sz w:val="24"/>
          <w:szCs w:val="24"/>
        </w:rPr>
      </w:pPr>
      <w:r w:rsidRPr="00D174BD">
        <w:rPr>
          <w:rFonts w:ascii="Times New Roman" w:hAnsi="Times New Roman" w:cs="Times New Roman"/>
          <w:i/>
          <w:iCs/>
          <w:sz w:val="24"/>
          <w:szCs w:val="24"/>
        </w:rPr>
        <w:t>Accountability and Continuous Improvement</w:t>
      </w:r>
    </w:p>
    <w:p w14:paraId="40E00A8D" w14:textId="7D1FA8FC" w:rsidR="00D51543" w:rsidRDefault="00D51543" w:rsidP="00D51543">
      <w:pPr>
        <w:spacing w:after="0"/>
        <w:ind w:firstLine="720"/>
        <w:jc w:val="both"/>
        <w:rPr>
          <w:rFonts w:ascii="Times New Roman" w:hAnsi="Times New Roman" w:cs="Times New Roman"/>
          <w:sz w:val="24"/>
          <w:szCs w:val="24"/>
        </w:rPr>
      </w:pPr>
      <w:r w:rsidRPr="00E304DD">
        <w:rPr>
          <w:rFonts w:ascii="Times New Roman" w:hAnsi="Times New Roman" w:cs="Times New Roman"/>
          <w:sz w:val="24"/>
          <w:szCs w:val="24"/>
        </w:rPr>
        <w:t>The domain of accountability and continuous improvement received a mean score of 4.21</w:t>
      </w:r>
      <w:r>
        <w:rPr>
          <w:rFonts w:ascii="Times New Roman" w:hAnsi="Times New Roman" w:cs="Times New Roman"/>
          <w:sz w:val="24"/>
          <w:szCs w:val="24"/>
        </w:rPr>
        <w:t xml:space="preserve"> shown in Table 1</w:t>
      </w:r>
      <w:r w:rsidRPr="00E304DD">
        <w:rPr>
          <w:rFonts w:ascii="Times New Roman" w:hAnsi="Times New Roman" w:cs="Times New Roman"/>
          <w:sz w:val="24"/>
          <w:szCs w:val="24"/>
        </w:rPr>
        <w:t xml:space="preserve">, suggesting that most schools maintain mechanisms for performance monitoring and self-assessment. </w:t>
      </w:r>
      <w:r w:rsidRPr="00A71F8E">
        <w:rPr>
          <w:rFonts w:ascii="Times New Roman" w:hAnsi="Times New Roman" w:cs="Times New Roman"/>
          <w:sz w:val="24"/>
          <w:szCs w:val="24"/>
        </w:rPr>
        <w:t xml:space="preserve"> School heads </w:t>
      </w:r>
      <w:r w:rsidR="006B312B">
        <w:rPr>
          <w:rFonts w:ascii="Times New Roman" w:hAnsi="Times New Roman" w:cs="Times New Roman"/>
          <w:sz w:val="24"/>
          <w:szCs w:val="24"/>
        </w:rPr>
        <w:t xml:space="preserve">rated </w:t>
      </w:r>
      <w:r w:rsidRPr="00A71F8E">
        <w:rPr>
          <w:rFonts w:ascii="Times New Roman" w:hAnsi="Times New Roman" w:cs="Times New Roman"/>
          <w:sz w:val="24"/>
          <w:szCs w:val="24"/>
        </w:rPr>
        <w:t>this domain highly</w:t>
      </w:r>
      <w:r>
        <w:rPr>
          <w:rFonts w:ascii="Times New Roman" w:hAnsi="Times New Roman" w:cs="Times New Roman"/>
          <w:sz w:val="24"/>
          <w:szCs w:val="24"/>
        </w:rPr>
        <w:t xml:space="preserve"> (M = 4.63) </w:t>
      </w:r>
      <w:r w:rsidRPr="00A22F24">
        <w:rPr>
          <w:rFonts w:ascii="Times New Roman" w:hAnsi="Times New Roman" w:cs="Times New Roman"/>
          <w:sz w:val="24"/>
          <w:szCs w:val="24"/>
        </w:rPr>
        <w:t>as illustrated in Table 2</w:t>
      </w:r>
      <w:r w:rsidRPr="00A71F8E">
        <w:rPr>
          <w:rFonts w:ascii="Times New Roman" w:hAnsi="Times New Roman" w:cs="Times New Roman"/>
          <w:sz w:val="24"/>
          <w:szCs w:val="24"/>
        </w:rPr>
        <w:t xml:space="preserve">, while </w:t>
      </w:r>
      <w:r>
        <w:rPr>
          <w:rFonts w:ascii="Times New Roman" w:hAnsi="Times New Roman" w:cs="Times New Roman"/>
          <w:sz w:val="24"/>
          <w:szCs w:val="24"/>
        </w:rPr>
        <w:t xml:space="preserve">teachers and </w:t>
      </w:r>
      <w:r w:rsidRPr="00A71F8E">
        <w:rPr>
          <w:rFonts w:ascii="Times New Roman" w:hAnsi="Times New Roman" w:cs="Times New Roman"/>
          <w:sz w:val="24"/>
          <w:szCs w:val="24"/>
        </w:rPr>
        <w:t xml:space="preserve">parents were less </w:t>
      </w:r>
      <w:r w:rsidR="006B312B">
        <w:rPr>
          <w:rFonts w:ascii="Times New Roman" w:hAnsi="Times New Roman" w:cs="Times New Roman"/>
          <w:sz w:val="24"/>
          <w:szCs w:val="24"/>
        </w:rPr>
        <w:t>satisfied</w:t>
      </w:r>
      <w:r w:rsidRPr="00A71F8E">
        <w:rPr>
          <w:rFonts w:ascii="Times New Roman" w:hAnsi="Times New Roman" w:cs="Times New Roman"/>
          <w:sz w:val="24"/>
          <w:szCs w:val="24"/>
        </w:rPr>
        <w:t xml:space="preserve"> of formal accountability structures</w:t>
      </w:r>
      <w:r>
        <w:rPr>
          <w:rFonts w:ascii="Times New Roman" w:hAnsi="Times New Roman" w:cs="Times New Roman"/>
          <w:sz w:val="24"/>
          <w:szCs w:val="24"/>
        </w:rPr>
        <w:t xml:space="preserve"> </w:t>
      </w:r>
      <w:r w:rsidRPr="00E304DD">
        <w:rPr>
          <w:rFonts w:ascii="Times New Roman" w:hAnsi="Times New Roman" w:cs="Times New Roman"/>
          <w:sz w:val="24"/>
          <w:szCs w:val="24"/>
        </w:rPr>
        <w:t>(M = 4.</w:t>
      </w:r>
      <w:r w:rsidR="006B312B">
        <w:rPr>
          <w:rFonts w:ascii="Times New Roman" w:hAnsi="Times New Roman" w:cs="Times New Roman"/>
          <w:sz w:val="24"/>
          <w:szCs w:val="24"/>
        </w:rPr>
        <w:t>0</w:t>
      </w:r>
      <w:r>
        <w:rPr>
          <w:rFonts w:ascii="Times New Roman" w:hAnsi="Times New Roman" w:cs="Times New Roman"/>
          <w:sz w:val="24"/>
          <w:szCs w:val="24"/>
        </w:rPr>
        <w:t>1</w:t>
      </w:r>
      <w:r w:rsidRPr="00E304DD">
        <w:rPr>
          <w:rFonts w:ascii="Times New Roman" w:hAnsi="Times New Roman" w:cs="Times New Roman"/>
          <w:sz w:val="24"/>
          <w:szCs w:val="24"/>
        </w:rPr>
        <w:t xml:space="preserve"> and 4.</w:t>
      </w:r>
      <w:r w:rsidR="006B312B">
        <w:rPr>
          <w:rFonts w:ascii="Times New Roman" w:hAnsi="Times New Roman" w:cs="Times New Roman"/>
          <w:sz w:val="24"/>
          <w:szCs w:val="24"/>
        </w:rPr>
        <w:t>33</w:t>
      </w:r>
      <w:r w:rsidRPr="00E304DD">
        <w:rPr>
          <w:rFonts w:ascii="Times New Roman" w:hAnsi="Times New Roman" w:cs="Times New Roman"/>
          <w:sz w:val="24"/>
          <w:szCs w:val="24"/>
        </w:rPr>
        <w:t>, respectively)</w:t>
      </w:r>
      <w:r w:rsidRPr="00A71F8E">
        <w:rPr>
          <w:rFonts w:ascii="Times New Roman" w:hAnsi="Times New Roman" w:cs="Times New Roman"/>
          <w:sz w:val="24"/>
          <w:szCs w:val="24"/>
        </w:rPr>
        <w:t>. However, open-ended responses noted that documentation and compliance processes are time-consuming and burdensome.</w:t>
      </w:r>
      <w:r>
        <w:rPr>
          <w:rFonts w:ascii="Times New Roman" w:hAnsi="Times New Roman" w:cs="Times New Roman"/>
          <w:sz w:val="24"/>
          <w:szCs w:val="24"/>
        </w:rPr>
        <w:t xml:space="preserve"> </w:t>
      </w:r>
      <w:r w:rsidRPr="00A71F8E">
        <w:rPr>
          <w:rFonts w:ascii="Times New Roman" w:hAnsi="Times New Roman" w:cs="Times New Roman"/>
          <w:sz w:val="24"/>
          <w:szCs w:val="24"/>
        </w:rPr>
        <w:t>These findings are supported by Fullan and Quinn (2020), who argued that successful SBM systems cultivate internal accountability through data use and collective reflection. However, Garcia and Rivera (2023) noted that in many Philippine public schools, especially rural ones, accountability often becomes a compliance exercise rather than a tool for improvement. This study’s findings confirm that while mechanisms for self-assessment are in place, their effectiveness is limited by administrative workload and uneven data literacy among school personnel.</w:t>
      </w:r>
    </w:p>
    <w:p w14:paraId="69711662" w14:textId="77777777" w:rsidR="009F6FB2" w:rsidRDefault="009F6FB2" w:rsidP="00D51543">
      <w:pPr>
        <w:spacing w:after="0"/>
        <w:ind w:firstLine="720"/>
        <w:jc w:val="both"/>
        <w:rPr>
          <w:rFonts w:ascii="Times New Roman" w:hAnsi="Times New Roman" w:cs="Times New Roman"/>
          <w:sz w:val="24"/>
          <w:szCs w:val="24"/>
        </w:rPr>
      </w:pPr>
    </w:p>
    <w:p w14:paraId="61C4FB74" w14:textId="77777777" w:rsidR="00724288" w:rsidRDefault="00724288" w:rsidP="00D51543">
      <w:pPr>
        <w:spacing w:after="0"/>
        <w:ind w:firstLine="720"/>
        <w:jc w:val="both"/>
        <w:rPr>
          <w:rFonts w:ascii="Times New Roman" w:hAnsi="Times New Roman" w:cs="Times New Roman"/>
          <w:sz w:val="24"/>
          <w:szCs w:val="24"/>
        </w:rPr>
      </w:pPr>
    </w:p>
    <w:p w14:paraId="67D0F1E3" w14:textId="77777777" w:rsidR="00724288" w:rsidRPr="00A71F8E" w:rsidRDefault="00724288" w:rsidP="00D51543">
      <w:pPr>
        <w:spacing w:after="0"/>
        <w:ind w:firstLine="720"/>
        <w:jc w:val="both"/>
        <w:rPr>
          <w:rFonts w:ascii="Times New Roman" w:hAnsi="Times New Roman" w:cs="Times New Roman"/>
          <w:sz w:val="24"/>
          <w:szCs w:val="24"/>
        </w:rPr>
      </w:pPr>
    </w:p>
    <w:p w14:paraId="22835579" w14:textId="77777777" w:rsidR="009F6FB2" w:rsidRPr="00D174BD" w:rsidRDefault="009F6FB2" w:rsidP="009F6FB2">
      <w:pPr>
        <w:spacing w:after="0"/>
        <w:jc w:val="both"/>
        <w:rPr>
          <w:rFonts w:ascii="Times New Roman" w:hAnsi="Times New Roman" w:cs="Times New Roman"/>
          <w:i/>
          <w:iCs/>
          <w:sz w:val="24"/>
          <w:szCs w:val="24"/>
        </w:rPr>
      </w:pPr>
      <w:r w:rsidRPr="00D174BD">
        <w:rPr>
          <w:rFonts w:ascii="Times New Roman" w:hAnsi="Times New Roman" w:cs="Times New Roman"/>
          <w:i/>
          <w:iCs/>
          <w:sz w:val="24"/>
          <w:szCs w:val="24"/>
        </w:rPr>
        <w:t>Curriculum and Learning</w:t>
      </w:r>
    </w:p>
    <w:p w14:paraId="2372CAAA" w14:textId="0105F358" w:rsidR="009F6FB2" w:rsidRPr="005D439D" w:rsidRDefault="009F6FB2" w:rsidP="009F6FB2">
      <w:pPr>
        <w:spacing w:after="0"/>
        <w:ind w:firstLine="720"/>
        <w:jc w:val="both"/>
        <w:rPr>
          <w:rFonts w:ascii="Times New Roman" w:hAnsi="Times New Roman" w:cs="Times New Roman"/>
          <w:sz w:val="24"/>
          <w:szCs w:val="24"/>
        </w:rPr>
      </w:pPr>
      <w:r w:rsidRPr="005D439D">
        <w:rPr>
          <w:rFonts w:ascii="Times New Roman" w:hAnsi="Times New Roman" w:cs="Times New Roman"/>
          <w:sz w:val="24"/>
          <w:szCs w:val="24"/>
        </w:rPr>
        <w:t xml:space="preserve">The domain of curriculum and learning recorded a mean score of 4.11, </w:t>
      </w:r>
      <w:r w:rsidR="0064790B" w:rsidRPr="00E304DD">
        <w:rPr>
          <w:rFonts w:ascii="Times New Roman" w:hAnsi="Times New Roman" w:cs="Times New Roman"/>
          <w:sz w:val="24"/>
          <w:szCs w:val="24"/>
        </w:rPr>
        <w:t>received moderate ratings from teachers</w:t>
      </w:r>
      <w:r w:rsidR="0064790B">
        <w:rPr>
          <w:rFonts w:ascii="Times New Roman" w:hAnsi="Times New Roman" w:cs="Times New Roman"/>
          <w:sz w:val="24"/>
          <w:szCs w:val="24"/>
        </w:rPr>
        <w:t xml:space="preserve"> </w:t>
      </w:r>
      <w:r w:rsidR="0064790B" w:rsidRPr="005D439D">
        <w:rPr>
          <w:rFonts w:ascii="Times New Roman" w:hAnsi="Times New Roman" w:cs="Times New Roman"/>
          <w:sz w:val="24"/>
          <w:szCs w:val="24"/>
        </w:rPr>
        <w:t xml:space="preserve">(M = 3.92) </w:t>
      </w:r>
      <w:r w:rsidR="0064790B" w:rsidRPr="00E304DD">
        <w:rPr>
          <w:rFonts w:ascii="Times New Roman" w:hAnsi="Times New Roman" w:cs="Times New Roman"/>
          <w:sz w:val="24"/>
          <w:szCs w:val="24"/>
        </w:rPr>
        <w:t>and parents</w:t>
      </w:r>
      <w:r w:rsidR="0064790B">
        <w:rPr>
          <w:rFonts w:ascii="Times New Roman" w:hAnsi="Times New Roman" w:cs="Times New Roman"/>
          <w:sz w:val="24"/>
          <w:szCs w:val="24"/>
        </w:rPr>
        <w:t xml:space="preserve"> (M = 4.22)</w:t>
      </w:r>
      <w:r w:rsidR="0064790B" w:rsidRPr="00E304DD">
        <w:rPr>
          <w:rFonts w:ascii="Times New Roman" w:hAnsi="Times New Roman" w:cs="Times New Roman"/>
          <w:sz w:val="24"/>
          <w:szCs w:val="24"/>
        </w:rPr>
        <w:t>, while school heads gave relatively higher scores</w:t>
      </w:r>
      <w:r w:rsidR="0064790B">
        <w:rPr>
          <w:rFonts w:ascii="Times New Roman" w:hAnsi="Times New Roman" w:cs="Times New Roman"/>
          <w:sz w:val="24"/>
          <w:szCs w:val="24"/>
        </w:rPr>
        <w:t xml:space="preserve"> (M = 4.56)</w:t>
      </w:r>
      <w:r w:rsidRPr="005D439D">
        <w:rPr>
          <w:rFonts w:ascii="Times New Roman" w:hAnsi="Times New Roman" w:cs="Times New Roman"/>
          <w:sz w:val="24"/>
          <w:szCs w:val="24"/>
        </w:rPr>
        <w:t xml:space="preserve">. </w:t>
      </w:r>
      <w:r w:rsidR="0064790B" w:rsidRPr="00E304DD">
        <w:rPr>
          <w:rFonts w:ascii="Times New Roman" w:hAnsi="Times New Roman" w:cs="Times New Roman"/>
          <w:sz w:val="24"/>
          <w:szCs w:val="24"/>
        </w:rPr>
        <w:t xml:space="preserve">Teachers expressed concerns about the adequacy of contextualized learning materials and access to training for curriculum implementation. </w:t>
      </w:r>
      <w:r w:rsidRPr="005D439D">
        <w:rPr>
          <w:rFonts w:ascii="Times New Roman" w:hAnsi="Times New Roman" w:cs="Times New Roman"/>
          <w:sz w:val="24"/>
          <w:szCs w:val="24"/>
        </w:rPr>
        <w:t xml:space="preserve">This is evident in </w:t>
      </w:r>
      <w:r>
        <w:rPr>
          <w:rFonts w:ascii="Times New Roman" w:hAnsi="Times New Roman" w:cs="Times New Roman"/>
          <w:sz w:val="24"/>
          <w:szCs w:val="24"/>
        </w:rPr>
        <w:t>Table 2</w:t>
      </w:r>
      <w:r w:rsidRPr="005D439D">
        <w:rPr>
          <w:rFonts w:ascii="Times New Roman" w:hAnsi="Times New Roman" w:cs="Times New Roman"/>
          <w:sz w:val="24"/>
          <w:szCs w:val="24"/>
        </w:rPr>
        <w:t>, which shows a drop in ratings for this domain across stakeholder groups. Qualitative responses also revealed that curriculum adaptation is limited by a lack of training and instructional materials.</w:t>
      </w:r>
      <w:r>
        <w:rPr>
          <w:rFonts w:ascii="Times New Roman" w:hAnsi="Times New Roman" w:cs="Times New Roman"/>
          <w:sz w:val="24"/>
          <w:szCs w:val="24"/>
        </w:rPr>
        <w:t xml:space="preserve"> </w:t>
      </w:r>
      <w:r w:rsidRPr="00E304DD">
        <w:rPr>
          <w:rFonts w:ascii="Times New Roman" w:hAnsi="Times New Roman" w:cs="Times New Roman"/>
          <w:sz w:val="24"/>
          <w:szCs w:val="24"/>
        </w:rPr>
        <w:t>These concerns are supported by existing research indicating that resource-constrained schools often struggle to implement localized curriculum innovations effectively</w:t>
      </w:r>
      <w:r>
        <w:rPr>
          <w:rFonts w:ascii="Times New Roman" w:hAnsi="Times New Roman" w:cs="Times New Roman"/>
          <w:sz w:val="24"/>
          <w:szCs w:val="24"/>
        </w:rPr>
        <w:t xml:space="preserve">. </w:t>
      </w:r>
      <w:r w:rsidRPr="005D439D">
        <w:rPr>
          <w:rFonts w:ascii="Times New Roman" w:hAnsi="Times New Roman" w:cs="Times New Roman"/>
          <w:sz w:val="24"/>
          <w:szCs w:val="24"/>
        </w:rPr>
        <w:t>Cheng (2021) observed that rural schools in Asia struggle with curriculum localization due to resource constraints and low teacher capacity. Similarly, Darling-Hammond et al. (2019) highlighted that professional development is essential for instructional innovation under decentralized models. In the Philippine context, although DepEd (2021) promotes curriculum contextualization, implementation is often hindered by insufficient teacher support systems. Therefore, the current study’s findings confirm that while curricular reform is a core feature of SBM, it remains a significant challenge in disadvantaged settings.</w:t>
      </w:r>
    </w:p>
    <w:p w14:paraId="1BA51DF5" w14:textId="77777777" w:rsidR="00D174BD" w:rsidRDefault="00D174BD" w:rsidP="00E304DD">
      <w:pPr>
        <w:spacing w:after="0"/>
        <w:ind w:firstLine="720"/>
        <w:jc w:val="both"/>
        <w:rPr>
          <w:rFonts w:ascii="Times New Roman" w:hAnsi="Times New Roman" w:cs="Times New Roman"/>
          <w:sz w:val="24"/>
          <w:szCs w:val="24"/>
        </w:rPr>
      </w:pPr>
    </w:p>
    <w:p w14:paraId="10937F15" w14:textId="7B56B1EB" w:rsidR="00D174BD" w:rsidRPr="00D174BD" w:rsidRDefault="00D174BD" w:rsidP="00D174BD">
      <w:pPr>
        <w:spacing w:after="0"/>
        <w:jc w:val="both"/>
        <w:rPr>
          <w:rFonts w:ascii="Times New Roman" w:hAnsi="Times New Roman" w:cs="Times New Roman"/>
          <w:i/>
          <w:iCs/>
          <w:sz w:val="24"/>
          <w:szCs w:val="24"/>
        </w:rPr>
      </w:pPr>
      <w:r w:rsidRPr="00D174BD">
        <w:rPr>
          <w:rFonts w:ascii="Times New Roman" w:hAnsi="Times New Roman" w:cs="Times New Roman"/>
          <w:i/>
          <w:iCs/>
          <w:sz w:val="24"/>
          <w:szCs w:val="24"/>
        </w:rPr>
        <w:t>Resource Management</w:t>
      </w:r>
    </w:p>
    <w:p w14:paraId="1621EF91" w14:textId="383B5263" w:rsidR="00A158D3" w:rsidRPr="00A158D3" w:rsidRDefault="00A158D3" w:rsidP="00A158D3">
      <w:pPr>
        <w:spacing w:after="0"/>
        <w:ind w:firstLine="720"/>
        <w:jc w:val="both"/>
        <w:rPr>
          <w:rFonts w:ascii="Times New Roman" w:hAnsi="Times New Roman" w:cs="Times New Roman"/>
          <w:sz w:val="24"/>
          <w:szCs w:val="24"/>
        </w:rPr>
      </w:pPr>
      <w:r w:rsidRPr="00A158D3">
        <w:rPr>
          <w:rFonts w:ascii="Times New Roman" w:hAnsi="Times New Roman" w:cs="Times New Roman"/>
          <w:sz w:val="24"/>
          <w:szCs w:val="24"/>
        </w:rPr>
        <w:t>With an overall mean of 4.11</w:t>
      </w:r>
      <w:r w:rsidR="009F6FB2">
        <w:rPr>
          <w:rFonts w:ascii="Times New Roman" w:hAnsi="Times New Roman" w:cs="Times New Roman"/>
          <w:sz w:val="24"/>
          <w:szCs w:val="24"/>
        </w:rPr>
        <w:t xml:space="preserve"> as revealed in Table 1</w:t>
      </w:r>
      <w:r w:rsidRPr="00A158D3">
        <w:rPr>
          <w:rFonts w:ascii="Times New Roman" w:hAnsi="Times New Roman" w:cs="Times New Roman"/>
          <w:sz w:val="24"/>
          <w:szCs w:val="24"/>
        </w:rPr>
        <w:t xml:space="preserve">, the domain of resource management revealed mixed perceptions. School heads again rated this domain highly (M = </w:t>
      </w:r>
      <w:r>
        <w:rPr>
          <w:rFonts w:ascii="Times New Roman" w:hAnsi="Times New Roman" w:cs="Times New Roman"/>
          <w:sz w:val="24"/>
          <w:szCs w:val="24"/>
        </w:rPr>
        <w:t>4.74</w:t>
      </w:r>
      <w:r w:rsidRPr="00A158D3">
        <w:rPr>
          <w:rFonts w:ascii="Times New Roman" w:hAnsi="Times New Roman" w:cs="Times New Roman"/>
          <w:sz w:val="24"/>
          <w:szCs w:val="24"/>
        </w:rPr>
        <w:t>), while teachers and parents gave lower scores (M = 3.</w:t>
      </w:r>
      <w:r>
        <w:rPr>
          <w:rFonts w:ascii="Times New Roman" w:hAnsi="Times New Roman" w:cs="Times New Roman"/>
          <w:sz w:val="24"/>
          <w:szCs w:val="24"/>
        </w:rPr>
        <w:t>81</w:t>
      </w:r>
      <w:r w:rsidRPr="00A158D3">
        <w:rPr>
          <w:rFonts w:ascii="Times New Roman" w:hAnsi="Times New Roman" w:cs="Times New Roman"/>
          <w:sz w:val="24"/>
          <w:szCs w:val="24"/>
        </w:rPr>
        <w:t xml:space="preserve"> and M = 4.</w:t>
      </w:r>
      <w:r>
        <w:rPr>
          <w:rFonts w:ascii="Times New Roman" w:hAnsi="Times New Roman" w:cs="Times New Roman"/>
          <w:sz w:val="24"/>
          <w:szCs w:val="24"/>
        </w:rPr>
        <w:t>39</w:t>
      </w:r>
      <w:r w:rsidRPr="00A158D3">
        <w:rPr>
          <w:rFonts w:ascii="Times New Roman" w:hAnsi="Times New Roman" w:cs="Times New Roman"/>
          <w:sz w:val="24"/>
          <w:szCs w:val="24"/>
        </w:rPr>
        <w:t xml:space="preserve">, respectively), as shown in </w:t>
      </w:r>
      <w:r>
        <w:rPr>
          <w:rFonts w:ascii="Times New Roman" w:hAnsi="Times New Roman" w:cs="Times New Roman"/>
          <w:sz w:val="24"/>
          <w:szCs w:val="24"/>
        </w:rPr>
        <w:t>Table</w:t>
      </w:r>
      <w:r w:rsidRPr="00A158D3">
        <w:rPr>
          <w:rFonts w:ascii="Times New Roman" w:hAnsi="Times New Roman" w:cs="Times New Roman"/>
          <w:sz w:val="24"/>
          <w:szCs w:val="24"/>
        </w:rPr>
        <w:t xml:space="preserve"> 2. </w:t>
      </w:r>
      <w:r w:rsidRPr="00E304DD">
        <w:rPr>
          <w:rFonts w:ascii="Times New Roman" w:hAnsi="Times New Roman" w:cs="Times New Roman"/>
          <w:sz w:val="24"/>
          <w:szCs w:val="24"/>
        </w:rPr>
        <w:t>Key issues cited include limited Maintenance and Other Operating Expenses (MOOE) funds</w:t>
      </w:r>
      <w:r>
        <w:rPr>
          <w:rFonts w:ascii="Times New Roman" w:hAnsi="Times New Roman" w:cs="Times New Roman"/>
          <w:sz w:val="24"/>
          <w:szCs w:val="24"/>
        </w:rPr>
        <w:t xml:space="preserve">, </w:t>
      </w:r>
      <w:r w:rsidRPr="00A158D3">
        <w:rPr>
          <w:rFonts w:ascii="Times New Roman" w:hAnsi="Times New Roman" w:cs="Times New Roman"/>
          <w:sz w:val="24"/>
          <w:szCs w:val="24"/>
        </w:rPr>
        <w:t>lack of supplemental support, and limited involvement of external partners</w:t>
      </w:r>
      <w:r>
        <w:rPr>
          <w:rFonts w:ascii="Times New Roman" w:hAnsi="Times New Roman" w:cs="Times New Roman"/>
          <w:sz w:val="24"/>
          <w:szCs w:val="24"/>
        </w:rPr>
        <w:t>.</w:t>
      </w:r>
      <w:r w:rsidRPr="00A158D3">
        <w:rPr>
          <w:rFonts w:ascii="Times New Roman" w:hAnsi="Times New Roman" w:cs="Times New Roman"/>
          <w:sz w:val="24"/>
          <w:szCs w:val="24"/>
        </w:rPr>
        <w:t xml:space="preserve"> These themes also appeared frequently in the word cloud of open-ended responses (Figure </w:t>
      </w:r>
      <w:r>
        <w:rPr>
          <w:rFonts w:ascii="Times New Roman" w:hAnsi="Times New Roman" w:cs="Times New Roman"/>
          <w:sz w:val="24"/>
          <w:szCs w:val="24"/>
        </w:rPr>
        <w:t>1</w:t>
      </w:r>
      <w:r w:rsidRPr="00A158D3">
        <w:rPr>
          <w:rFonts w:ascii="Times New Roman" w:hAnsi="Times New Roman" w:cs="Times New Roman"/>
          <w:sz w:val="24"/>
          <w:szCs w:val="24"/>
        </w:rPr>
        <w:t>).</w:t>
      </w:r>
      <w:r>
        <w:rPr>
          <w:rFonts w:ascii="Times New Roman" w:hAnsi="Times New Roman" w:cs="Times New Roman"/>
          <w:sz w:val="24"/>
          <w:szCs w:val="24"/>
        </w:rPr>
        <w:t xml:space="preserve"> </w:t>
      </w:r>
      <w:r w:rsidRPr="00A158D3">
        <w:rPr>
          <w:rFonts w:ascii="Times New Roman" w:hAnsi="Times New Roman" w:cs="Times New Roman"/>
          <w:sz w:val="24"/>
          <w:szCs w:val="24"/>
        </w:rPr>
        <w:t xml:space="preserve">These findings are echoed in the work of Bautista, Bernardo, and Ocampo (2021), who reported persistent resource limitations in rural Philippine schools despite SBM mandates. Palarca and </w:t>
      </w:r>
      <w:proofErr w:type="spellStart"/>
      <w:r w:rsidRPr="00A158D3">
        <w:rPr>
          <w:rFonts w:ascii="Times New Roman" w:hAnsi="Times New Roman" w:cs="Times New Roman"/>
          <w:sz w:val="24"/>
          <w:szCs w:val="24"/>
        </w:rPr>
        <w:t>Sumalpong</w:t>
      </w:r>
      <w:proofErr w:type="spellEnd"/>
      <w:r w:rsidRPr="00A158D3">
        <w:rPr>
          <w:rFonts w:ascii="Times New Roman" w:hAnsi="Times New Roman" w:cs="Times New Roman"/>
          <w:sz w:val="24"/>
          <w:szCs w:val="24"/>
        </w:rPr>
        <w:t xml:space="preserve"> (2022) similarly found that while policies encourage stakeholder support, actual community engagement remains low in resource-deprived areas. On the other hand, OECD (2022) found that schools that institutionalize budget transparency and involve parents in financial planning are more likely to sustain their programs. Thus, the results of the present study confirm effective resource management under SBM remains contingent on both administrative efficiency and genuine stakeholder participation.</w:t>
      </w:r>
    </w:p>
    <w:p w14:paraId="0907DEBE" w14:textId="2EF04F9D" w:rsidR="00D174BD" w:rsidRDefault="00D174BD" w:rsidP="00D174BD">
      <w:pPr>
        <w:spacing w:after="0"/>
        <w:jc w:val="both"/>
        <w:rPr>
          <w:rFonts w:ascii="Times New Roman" w:hAnsi="Times New Roman" w:cs="Times New Roman"/>
          <w:sz w:val="24"/>
          <w:szCs w:val="24"/>
        </w:rPr>
      </w:pPr>
    </w:p>
    <w:p w14:paraId="5C053733" w14:textId="37E020B7" w:rsidR="00D174BD" w:rsidRPr="00D174BD" w:rsidRDefault="00D174BD" w:rsidP="00D174BD">
      <w:pPr>
        <w:spacing w:after="0"/>
        <w:ind w:firstLine="720"/>
        <w:jc w:val="center"/>
        <w:rPr>
          <w:rFonts w:ascii="Times New Roman" w:hAnsi="Times New Roman" w:cs="Times New Roman"/>
          <w:sz w:val="24"/>
          <w:szCs w:val="24"/>
          <w:lang w:val="en-US"/>
        </w:rPr>
      </w:pPr>
      <w:r w:rsidRPr="00D174BD">
        <w:rPr>
          <w:rFonts w:ascii="Times New Roman" w:hAnsi="Times New Roman" w:cs="Times New Roman"/>
          <w:noProof/>
          <w:sz w:val="24"/>
          <w:szCs w:val="24"/>
          <w:lang w:val="en-US"/>
        </w:rPr>
        <w:drawing>
          <wp:inline distT="0" distB="0" distL="0" distR="0" wp14:anchorId="5343684D" wp14:editId="3CAC4502">
            <wp:extent cx="5029200" cy="2514600"/>
            <wp:effectExtent l="0" t="0" r="0" b="0"/>
            <wp:docPr id="8454104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2514600"/>
                    </a:xfrm>
                    <a:prstGeom prst="rect">
                      <a:avLst/>
                    </a:prstGeom>
                    <a:noFill/>
                    <a:ln>
                      <a:noFill/>
                    </a:ln>
                  </pic:spPr>
                </pic:pic>
              </a:graphicData>
            </a:graphic>
          </wp:inline>
        </w:drawing>
      </w:r>
    </w:p>
    <w:p w14:paraId="4F238894" w14:textId="79F160CF" w:rsidR="00D174BD" w:rsidRPr="00D174BD" w:rsidRDefault="00D174BD" w:rsidP="00D174BD">
      <w:pPr>
        <w:spacing w:after="0"/>
        <w:ind w:firstLine="720"/>
        <w:jc w:val="both"/>
        <w:rPr>
          <w:rFonts w:ascii="Times New Roman" w:hAnsi="Times New Roman" w:cs="Times New Roman"/>
          <w:lang w:val="en-US"/>
        </w:rPr>
      </w:pPr>
      <w:r w:rsidRPr="00D174BD">
        <w:rPr>
          <w:rFonts w:ascii="Times New Roman" w:hAnsi="Times New Roman" w:cs="Times New Roman"/>
          <w:lang w:val="en-US"/>
        </w:rPr>
        <w:t xml:space="preserve">Figure </w:t>
      </w:r>
      <w:r w:rsidR="00A158D3">
        <w:rPr>
          <w:rFonts w:ascii="Times New Roman" w:hAnsi="Times New Roman" w:cs="Times New Roman"/>
          <w:lang w:val="en-US"/>
        </w:rPr>
        <w:t>1</w:t>
      </w:r>
      <w:r w:rsidRPr="00D174BD">
        <w:rPr>
          <w:rFonts w:ascii="Times New Roman" w:hAnsi="Times New Roman" w:cs="Times New Roman"/>
          <w:lang w:val="en-US"/>
        </w:rPr>
        <w:t>. Word cloud showing most common terms from responses on SBM challenges and best practices.</w:t>
      </w:r>
    </w:p>
    <w:p w14:paraId="2C84219B" w14:textId="77777777" w:rsidR="00D174BD" w:rsidRDefault="00D174BD" w:rsidP="00724288">
      <w:pPr>
        <w:spacing w:after="0"/>
        <w:jc w:val="both"/>
        <w:rPr>
          <w:rFonts w:ascii="Times New Roman" w:hAnsi="Times New Roman" w:cs="Times New Roman"/>
          <w:sz w:val="24"/>
          <w:szCs w:val="24"/>
        </w:rPr>
      </w:pPr>
    </w:p>
    <w:p w14:paraId="75CFA4BC" w14:textId="77777777" w:rsidR="00724288" w:rsidRDefault="00724288" w:rsidP="00724288">
      <w:pPr>
        <w:spacing w:after="0"/>
        <w:jc w:val="both"/>
        <w:rPr>
          <w:rFonts w:ascii="Times New Roman" w:hAnsi="Times New Roman" w:cs="Times New Roman"/>
          <w:b/>
          <w:bCs/>
          <w:sz w:val="24"/>
          <w:szCs w:val="24"/>
        </w:rPr>
      </w:pPr>
    </w:p>
    <w:p w14:paraId="339A019D" w14:textId="4FB5356E" w:rsidR="00724288" w:rsidRPr="00D174BD" w:rsidRDefault="00724288" w:rsidP="00724288">
      <w:pPr>
        <w:spacing w:after="0"/>
        <w:jc w:val="both"/>
        <w:rPr>
          <w:rFonts w:ascii="Times New Roman" w:hAnsi="Times New Roman" w:cs="Times New Roman"/>
          <w:b/>
          <w:bCs/>
          <w:sz w:val="24"/>
          <w:szCs w:val="24"/>
        </w:rPr>
      </w:pPr>
      <w:r w:rsidRPr="00D174BD">
        <w:rPr>
          <w:rFonts w:ascii="Times New Roman" w:hAnsi="Times New Roman" w:cs="Times New Roman"/>
          <w:b/>
          <w:bCs/>
          <w:sz w:val="24"/>
          <w:szCs w:val="24"/>
        </w:rPr>
        <w:t>Challenges and Best Practices</w:t>
      </w:r>
    </w:p>
    <w:p w14:paraId="05E16987" w14:textId="39EFB017" w:rsidR="00724288" w:rsidRDefault="00724288" w:rsidP="00724288">
      <w:pPr>
        <w:spacing w:after="0"/>
        <w:jc w:val="both"/>
        <w:rPr>
          <w:rFonts w:ascii="Times New Roman" w:hAnsi="Times New Roman" w:cs="Times New Roman"/>
          <w:sz w:val="24"/>
          <w:szCs w:val="24"/>
        </w:rPr>
      </w:pPr>
      <w:r>
        <w:rPr>
          <w:rFonts w:ascii="Times New Roman" w:hAnsi="Times New Roman" w:cs="Times New Roman"/>
          <w:sz w:val="24"/>
          <w:szCs w:val="24"/>
        </w:rPr>
        <w:tab/>
      </w:r>
      <w:r w:rsidRPr="00A158D3">
        <w:rPr>
          <w:rFonts w:ascii="Times New Roman" w:hAnsi="Times New Roman" w:cs="Times New Roman"/>
          <w:sz w:val="24"/>
          <w:szCs w:val="24"/>
        </w:rPr>
        <w:t>Qualitative responses identified recurring challenges such as financial limitations, administrative overload, and stakeholder disengagement. These challenges align with those identified by Bruns et al. (2019) and Garcia and Rivera (2023), who reported similar patterns in low-resource SBM contexts. In contrast, best practices included regular stakeholder meetings, transparent decision-making, and shared leadership, echoing findings by Schleicher (2020) and Harris and Jones (2019), who emphasize that a culture of trust and collaboration is central to SBM success.</w:t>
      </w:r>
      <w:r>
        <w:rPr>
          <w:rFonts w:ascii="Times New Roman" w:hAnsi="Times New Roman" w:cs="Times New Roman"/>
          <w:sz w:val="24"/>
          <w:szCs w:val="24"/>
        </w:rPr>
        <w:t xml:space="preserve"> </w:t>
      </w:r>
      <w:r w:rsidRPr="00A158D3">
        <w:rPr>
          <w:rFonts w:ascii="Times New Roman" w:hAnsi="Times New Roman" w:cs="Times New Roman"/>
          <w:sz w:val="24"/>
          <w:szCs w:val="24"/>
        </w:rPr>
        <w:t xml:space="preserve">Figure </w:t>
      </w:r>
      <w:r>
        <w:rPr>
          <w:rFonts w:ascii="Times New Roman" w:hAnsi="Times New Roman" w:cs="Times New Roman"/>
          <w:sz w:val="24"/>
          <w:szCs w:val="24"/>
        </w:rPr>
        <w:t>1</w:t>
      </w:r>
      <w:r w:rsidRPr="00A158D3">
        <w:rPr>
          <w:rFonts w:ascii="Times New Roman" w:hAnsi="Times New Roman" w:cs="Times New Roman"/>
          <w:sz w:val="24"/>
          <w:szCs w:val="24"/>
        </w:rPr>
        <w:t xml:space="preserve"> (Word Cloud) visually captures the most frequently cited themes in the open-ended responses, highlighting terms such as transparency, vision, cooperation, and training, which reinforce the statistical trends reported across domains.</w:t>
      </w:r>
    </w:p>
    <w:p w14:paraId="5F77A1ED" w14:textId="77777777" w:rsidR="00CF2BC6" w:rsidRDefault="00CF2BC6" w:rsidP="00797BBD">
      <w:pPr>
        <w:spacing w:after="0"/>
        <w:ind w:firstLine="720"/>
        <w:jc w:val="both"/>
        <w:rPr>
          <w:rFonts w:ascii="Times New Roman" w:hAnsi="Times New Roman" w:cs="Times New Roman"/>
          <w:sz w:val="24"/>
          <w:szCs w:val="24"/>
        </w:rPr>
      </w:pPr>
    </w:p>
    <w:p w14:paraId="26A097EF" w14:textId="324C0B0B" w:rsidR="00145E1A" w:rsidRPr="00803EFA" w:rsidRDefault="009F6FB2" w:rsidP="00803EFA">
      <w:pPr>
        <w:spacing w:line="276" w:lineRule="auto"/>
        <w:jc w:val="center"/>
        <w:rPr>
          <w:rFonts w:ascii="Times New Roman" w:eastAsia="Arial" w:hAnsi="Times New Roman" w:cs="Times New Roman"/>
          <w:b/>
          <w:bCs/>
          <w:sz w:val="28"/>
          <w:szCs w:val="28"/>
          <w:lang w:eastAsia="en-PH"/>
        </w:rPr>
      </w:pPr>
      <w:r w:rsidRPr="00803EFA">
        <w:rPr>
          <w:rFonts w:ascii="Times New Roman" w:eastAsia="Arial" w:hAnsi="Times New Roman" w:cs="Times New Roman"/>
          <w:b/>
          <w:bCs/>
          <w:sz w:val="28"/>
          <w:szCs w:val="28"/>
          <w:lang w:eastAsia="en-PH"/>
        </w:rPr>
        <w:t>CONCLUSIONS</w:t>
      </w:r>
      <w:r>
        <w:rPr>
          <w:rFonts w:ascii="Times New Roman" w:eastAsia="Arial" w:hAnsi="Times New Roman" w:cs="Times New Roman"/>
          <w:b/>
          <w:bCs/>
          <w:sz w:val="28"/>
          <w:szCs w:val="28"/>
          <w:lang w:eastAsia="en-PH"/>
        </w:rPr>
        <w:t xml:space="preserve"> AND RECOMMENDATIONS</w:t>
      </w:r>
    </w:p>
    <w:p w14:paraId="1A271049" w14:textId="48D3DD15" w:rsidR="009F6FB2" w:rsidRPr="009F6FB2" w:rsidRDefault="009F6FB2" w:rsidP="009F6FB2">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9F6FB2">
        <w:rPr>
          <w:rFonts w:ascii="Times New Roman" w:hAnsi="Times New Roman" w:cs="Times New Roman"/>
          <w:sz w:val="24"/>
          <w:szCs w:val="24"/>
          <w:lang w:val="en-US"/>
        </w:rPr>
        <w:t xml:space="preserve">This study aimed to assess the level of implementation of School-Based Management (SBM) in the elementary schools of </w:t>
      </w:r>
      <w:proofErr w:type="spellStart"/>
      <w:r w:rsidRPr="009F6FB2">
        <w:rPr>
          <w:rFonts w:ascii="Times New Roman" w:hAnsi="Times New Roman" w:cs="Times New Roman"/>
          <w:sz w:val="24"/>
          <w:szCs w:val="24"/>
          <w:lang w:val="en-US"/>
        </w:rPr>
        <w:t>Oras</w:t>
      </w:r>
      <w:proofErr w:type="spellEnd"/>
      <w:r w:rsidRPr="009F6FB2">
        <w:rPr>
          <w:rFonts w:ascii="Times New Roman" w:hAnsi="Times New Roman" w:cs="Times New Roman"/>
          <w:sz w:val="24"/>
          <w:szCs w:val="24"/>
          <w:lang w:val="en-US"/>
        </w:rPr>
        <w:t xml:space="preserve"> East District and to identify the challenges encountered and best practices adopted across four core domains: leadership and governance, curriculum and learning, accountability and continuous improvement, and resource management. Through quantitative analysis and thematic interpretation of open-ended responses, the study provides a localized understanding of SBM performance in a rural Philippine context.</w:t>
      </w:r>
    </w:p>
    <w:p w14:paraId="67A870EC" w14:textId="02D54FBD" w:rsidR="009F6FB2" w:rsidRPr="009F6FB2" w:rsidRDefault="009F6FB2" w:rsidP="009F6FB2">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9F6FB2">
        <w:rPr>
          <w:rFonts w:ascii="Times New Roman" w:hAnsi="Times New Roman" w:cs="Times New Roman"/>
          <w:sz w:val="24"/>
          <w:szCs w:val="24"/>
          <w:lang w:val="en-US"/>
        </w:rPr>
        <w:t>Findings confirmed that leadership and governance is the most effectively implemented domain, driven by participatory decision-making, shared vision, and strong school head engagement. However, gaps remain in curriculum contextualization, consistent stakeholder involvement, and sustainable resource mobilization. These results are supported by recent research in both Philippine and international settings, which highlight training, transparency, and collaboration as critical enablers of effective SBM.</w:t>
      </w:r>
    </w:p>
    <w:p w14:paraId="4400F49C" w14:textId="4C60C8B8" w:rsidR="009F6FB2" w:rsidRPr="009F6FB2" w:rsidRDefault="009F6FB2" w:rsidP="009F6FB2">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9F6FB2">
        <w:rPr>
          <w:rFonts w:ascii="Times New Roman" w:hAnsi="Times New Roman" w:cs="Times New Roman"/>
          <w:sz w:val="24"/>
          <w:szCs w:val="24"/>
          <w:lang w:val="en-US"/>
        </w:rPr>
        <w:t>Based on these findings, it is recommended that the Department of Education and district-level leadership develop structured capacity-building programs for school personnel, particularly focused on localized curriculum design, instructional leadership, and data-informed planning. These programs should be context-sensitive and recurring, not one-time interventions. In addition, mechanisms for authentic stakeholder engagement—especially involving parents and barangay officials—must be institutionalized to ensure broader participation and co-ownership of school improvement goals.</w:t>
      </w:r>
    </w:p>
    <w:p w14:paraId="73B4ED92" w14:textId="38012A7D" w:rsidR="009F6FB2" w:rsidRPr="009F6FB2" w:rsidRDefault="009F6FB2" w:rsidP="009F6FB2">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9F6FB2">
        <w:rPr>
          <w:rFonts w:ascii="Times New Roman" w:hAnsi="Times New Roman" w:cs="Times New Roman"/>
          <w:sz w:val="24"/>
          <w:szCs w:val="24"/>
          <w:lang w:val="en-US"/>
        </w:rPr>
        <w:t>To address administrative burdens, streamlined documentation and digitized reporting tools should be introduced to allow educators to focus more on instructional improvement. Moreover, promising practices observed in high-performing schools in the district—such as budget transparency forums, teacher-led learning action cells (LACs), and participatory SIP development—should be replicated through peer mentoring and inter-school collaboration.</w:t>
      </w:r>
    </w:p>
    <w:p w14:paraId="1C0BB6A0" w14:textId="77777777" w:rsidR="00211849" w:rsidRDefault="00211849" w:rsidP="00831FAA">
      <w:pPr>
        <w:spacing w:after="0" w:line="276" w:lineRule="auto"/>
        <w:jc w:val="both"/>
        <w:rPr>
          <w:rFonts w:ascii="Times New Roman" w:hAnsi="Times New Roman" w:cs="Times New Roman"/>
          <w:sz w:val="24"/>
          <w:szCs w:val="24"/>
        </w:rPr>
      </w:pPr>
    </w:p>
    <w:p w14:paraId="5E753BF3" w14:textId="77777777" w:rsidR="00211849" w:rsidRDefault="00211849" w:rsidP="00831FAA">
      <w:pPr>
        <w:spacing w:after="0" w:line="276" w:lineRule="auto"/>
        <w:jc w:val="both"/>
        <w:rPr>
          <w:rFonts w:ascii="Times New Roman" w:hAnsi="Times New Roman" w:cs="Times New Roman"/>
          <w:sz w:val="24"/>
          <w:szCs w:val="24"/>
        </w:rPr>
      </w:pPr>
    </w:p>
    <w:p w14:paraId="4FA6BB1C" w14:textId="7B796725" w:rsidR="00853932" w:rsidRPr="00803EFA" w:rsidRDefault="00F543E0" w:rsidP="00831FAA">
      <w:pPr>
        <w:spacing w:after="0" w:line="276" w:lineRule="auto"/>
        <w:jc w:val="both"/>
        <w:rPr>
          <w:rFonts w:ascii="Times New Roman" w:hAnsi="Times New Roman" w:cs="Times New Roman"/>
          <w:b/>
          <w:bCs/>
          <w:sz w:val="28"/>
          <w:szCs w:val="28"/>
        </w:rPr>
      </w:pPr>
      <w:r w:rsidRPr="00803EFA">
        <w:rPr>
          <w:rFonts w:ascii="Times New Roman" w:hAnsi="Times New Roman" w:cs="Times New Roman"/>
          <w:b/>
          <w:bCs/>
          <w:sz w:val="28"/>
          <w:szCs w:val="28"/>
        </w:rPr>
        <w:t>References</w:t>
      </w:r>
    </w:p>
    <w:p w14:paraId="7A0A8BC8" w14:textId="77777777" w:rsidR="00F543E0" w:rsidRDefault="00F543E0" w:rsidP="009C2578">
      <w:pPr>
        <w:spacing w:after="0" w:line="276" w:lineRule="auto"/>
        <w:jc w:val="both"/>
        <w:rPr>
          <w:rFonts w:ascii="Times New Roman" w:hAnsi="Times New Roman" w:cs="Times New Roman"/>
          <w:sz w:val="24"/>
          <w:szCs w:val="24"/>
        </w:rPr>
      </w:pPr>
    </w:p>
    <w:p w14:paraId="1A98FB23" w14:textId="77777777" w:rsidR="00FB29AB" w:rsidRPr="00FB29AB" w:rsidRDefault="00FB29AB" w:rsidP="00FE44F0">
      <w:pPr>
        <w:spacing w:after="0" w:line="276" w:lineRule="auto"/>
        <w:rPr>
          <w:rFonts w:ascii="Times New Roman" w:hAnsi="Times New Roman" w:cs="Times New Roman"/>
          <w:sz w:val="24"/>
          <w:szCs w:val="24"/>
        </w:rPr>
      </w:pPr>
      <w:r w:rsidRPr="00FB29AB">
        <w:rPr>
          <w:rFonts w:ascii="Times New Roman" w:hAnsi="Times New Roman" w:cs="Times New Roman"/>
          <w:sz w:val="24"/>
          <w:szCs w:val="24"/>
        </w:rPr>
        <w:t>Bautista, A., Bernardo, A. B., &amp; Ocampo, D. (2021). Challenges in educational reform: Lessons from School-Based Management initiatives. International Journal of Educational Development, 79, 102329. https://doi.org/10.1016/j.ijedudev.2020.102329</w:t>
      </w:r>
    </w:p>
    <w:p w14:paraId="79E72130" w14:textId="77777777" w:rsidR="00FB29AB" w:rsidRDefault="00FB29AB" w:rsidP="00FE44F0">
      <w:pPr>
        <w:spacing w:after="0" w:line="276" w:lineRule="auto"/>
        <w:rPr>
          <w:rFonts w:ascii="Times New Roman" w:hAnsi="Times New Roman" w:cs="Times New Roman"/>
          <w:sz w:val="24"/>
          <w:szCs w:val="24"/>
        </w:rPr>
      </w:pPr>
    </w:p>
    <w:p w14:paraId="32F12679" w14:textId="77777777" w:rsidR="00FB29AB" w:rsidRPr="00FB29AB" w:rsidRDefault="00FB29AB" w:rsidP="00FE44F0">
      <w:pPr>
        <w:spacing w:after="0" w:line="276" w:lineRule="auto"/>
        <w:rPr>
          <w:rFonts w:ascii="Times New Roman" w:hAnsi="Times New Roman" w:cs="Times New Roman"/>
          <w:sz w:val="24"/>
          <w:szCs w:val="24"/>
        </w:rPr>
      </w:pPr>
      <w:r w:rsidRPr="00FB29AB">
        <w:rPr>
          <w:rFonts w:ascii="Times New Roman" w:hAnsi="Times New Roman" w:cs="Times New Roman"/>
          <w:sz w:val="24"/>
          <w:szCs w:val="24"/>
        </w:rPr>
        <w:t>Bruns, B., Filmer, D., &amp; Patrinos, H. A. (2019). Making schools work: New evidence on accountability reforms. World Bank. https://doi.org/10.1596/978-1-4648-1442-8</w:t>
      </w:r>
    </w:p>
    <w:p w14:paraId="7107E94C" w14:textId="77777777" w:rsidR="00FB29AB" w:rsidRPr="00FB29AB" w:rsidRDefault="00FB29AB" w:rsidP="00FE44F0">
      <w:pPr>
        <w:spacing w:after="0" w:line="276" w:lineRule="auto"/>
        <w:rPr>
          <w:rFonts w:ascii="Times New Roman" w:hAnsi="Times New Roman" w:cs="Times New Roman"/>
          <w:sz w:val="24"/>
          <w:szCs w:val="24"/>
        </w:rPr>
      </w:pPr>
      <w:r w:rsidRPr="00FB29AB">
        <w:rPr>
          <w:rFonts w:ascii="Times New Roman" w:hAnsi="Times New Roman" w:cs="Times New Roman"/>
          <w:sz w:val="24"/>
          <w:szCs w:val="24"/>
        </w:rPr>
        <w:t>Bush, T. (2020). Theories of educational leadership and management (5th ed.). SAGE Publications.</w:t>
      </w:r>
    </w:p>
    <w:p w14:paraId="578DF27B" w14:textId="77777777" w:rsidR="00FB29AB" w:rsidRPr="00FB29AB" w:rsidRDefault="00FB29AB" w:rsidP="00FE44F0">
      <w:pPr>
        <w:spacing w:after="0" w:line="276" w:lineRule="auto"/>
        <w:rPr>
          <w:rFonts w:ascii="Times New Roman" w:hAnsi="Times New Roman" w:cs="Times New Roman"/>
          <w:sz w:val="24"/>
          <w:szCs w:val="24"/>
        </w:rPr>
      </w:pPr>
    </w:p>
    <w:p w14:paraId="7B9C4BD8" w14:textId="77777777" w:rsidR="00FB29AB" w:rsidRPr="00FB29AB" w:rsidRDefault="00FB29AB" w:rsidP="00FE44F0">
      <w:pPr>
        <w:spacing w:after="0" w:line="276" w:lineRule="auto"/>
        <w:rPr>
          <w:rFonts w:ascii="Times New Roman" w:hAnsi="Times New Roman" w:cs="Times New Roman"/>
          <w:sz w:val="24"/>
          <w:szCs w:val="24"/>
        </w:rPr>
      </w:pPr>
      <w:r w:rsidRPr="00FB29AB">
        <w:rPr>
          <w:rFonts w:ascii="Times New Roman" w:hAnsi="Times New Roman" w:cs="Times New Roman"/>
          <w:sz w:val="24"/>
          <w:szCs w:val="24"/>
        </w:rPr>
        <w:t xml:space="preserve">Cabrera, R., &amp; </w:t>
      </w:r>
      <w:proofErr w:type="spellStart"/>
      <w:r w:rsidRPr="00FB29AB">
        <w:rPr>
          <w:rFonts w:ascii="Times New Roman" w:hAnsi="Times New Roman" w:cs="Times New Roman"/>
          <w:sz w:val="24"/>
          <w:szCs w:val="24"/>
        </w:rPr>
        <w:t>Cayubit</w:t>
      </w:r>
      <w:proofErr w:type="spellEnd"/>
      <w:r w:rsidRPr="00FB29AB">
        <w:rPr>
          <w:rFonts w:ascii="Times New Roman" w:hAnsi="Times New Roman" w:cs="Times New Roman"/>
          <w:sz w:val="24"/>
          <w:szCs w:val="24"/>
        </w:rPr>
        <w:t>, R. (2023). School-Based Management in rural Philippine schools: Challenges and policy implications. Philippine Journal of Education, 98(2), 45–67.</w:t>
      </w:r>
    </w:p>
    <w:p w14:paraId="3616A4A4" w14:textId="77777777" w:rsidR="00FB29AB" w:rsidRPr="00FB29AB" w:rsidRDefault="00FB29AB" w:rsidP="00FE44F0">
      <w:pPr>
        <w:spacing w:after="0" w:line="276" w:lineRule="auto"/>
        <w:rPr>
          <w:rFonts w:ascii="Times New Roman" w:hAnsi="Times New Roman" w:cs="Times New Roman"/>
          <w:sz w:val="24"/>
          <w:szCs w:val="24"/>
        </w:rPr>
      </w:pPr>
    </w:p>
    <w:p w14:paraId="1DB6F522" w14:textId="77777777" w:rsidR="00FB29AB" w:rsidRPr="00FB29AB" w:rsidRDefault="00FB29AB" w:rsidP="00FE44F0">
      <w:pPr>
        <w:spacing w:after="0" w:line="276" w:lineRule="auto"/>
        <w:rPr>
          <w:rFonts w:ascii="Times New Roman" w:hAnsi="Times New Roman" w:cs="Times New Roman"/>
          <w:sz w:val="24"/>
          <w:szCs w:val="24"/>
        </w:rPr>
      </w:pPr>
      <w:r w:rsidRPr="00FB29AB">
        <w:rPr>
          <w:rFonts w:ascii="Times New Roman" w:hAnsi="Times New Roman" w:cs="Times New Roman"/>
          <w:sz w:val="24"/>
          <w:szCs w:val="24"/>
        </w:rPr>
        <w:t>Cheng, K. M. (2021). Curriculum innovations and implementation challenges in Asian education systems. Asian Journal of Education, 42(3), 215–231. https://doi.org/10.1080/02188791.2021.1879312</w:t>
      </w:r>
    </w:p>
    <w:p w14:paraId="0EE6CCC1" w14:textId="77777777" w:rsidR="00FB29AB" w:rsidRPr="00FB29AB" w:rsidRDefault="00FB29AB" w:rsidP="00FE44F0">
      <w:pPr>
        <w:spacing w:after="0" w:line="276" w:lineRule="auto"/>
        <w:rPr>
          <w:rFonts w:ascii="Times New Roman" w:hAnsi="Times New Roman" w:cs="Times New Roman"/>
          <w:sz w:val="24"/>
          <w:szCs w:val="24"/>
        </w:rPr>
      </w:pPr>
    </w:p>
    <w:p w14:paraId="4749D2D1" w14:textId="77777777" w:rsidR="00FB29AB" w:rsidRPr="00FB29AB" w:rsidRDefault="00FB29AB" w:rsidP="00FE44F0">
      <w:pPr>
        <w:spacing w:after="0" w:line="276" w:lineRule="auto"/>
        <w:rPr>
          <w:rFonts w:ascii="Times New Roman" w:hAnsi="Times New Roman" w:cs="Times New Roman"/>
          <w:sz w:val="24"/>
          <w:szCs w:val="24"/>
        </w:rPr>
      </w:pPr>
      <w:r w:rsidRPr="00FB29AB">
        <w:rPr>
          <w:rFonts w:ascii="Times New Roman" w:hAnsi="Times New Roman" w:cs="Times New Roman"/>
          <w:sz w:val="24"/>
          <w:szCs w:val="24"/>
        </w:rPr>
        <w:t>Darling-Hammond, L., Flook, L., Cook-Harvey, C., Barron, B., &amp; Osher, D. (2019). Implications for educational practice of the science of learning and development. Applied Developmental Science, 24(2), 97–140. https://doi.org/10.1080/10888691.2018.1537791</w:t>
      </w:r>
    </w:p>
    <w:p w14:paraId="7629796F" w14:textId="77777777" w:rsidR="00FB29AB" w:rsidRPr="00FB29AB" w:rsidRDefault="00FB29AB" w:rsidP="00FE44F0">
      <w:pPr>
        <w:spacing w:after="0" w:line="276" w:lineRule="auto"/>
        <w:rPr>
          <w:rFonts w:ascii="Times New Roman" w:hAnsi="Times New Roman" w:cs="Times New Roman"/>
          <w:sz w:val="24"/>
          <w:szCs w:val="24"/>
        </w:rPr>
      </w:pPr>
    </w:p>
    <w:p w14:paraId="30248B8A" w14:textId="77777777" w:rsidR="00FB29AB" w:rsidRPr="00FB29AB" w:rsidRDefault="00FB29AB" w:rsidP="00FE44F0">
      <w:pPr>
        <w:spacing w:after="0" w:line="276" w:lineRule="auto"/>
        <w:rPr>
          <w:rFonts w:ascii="Times New Roman" w:hAnsi="Times New Roman" w:cs="Times New Roman"/>
          <w:sz w:val="24"/>
          <w:szCs w:val="24"/>
        </w:rPr>
      </w:pPr>
      <w:r w:rsidRPr="00FB29AB">
        <w:rPr>
          <w:rFonts w:ascii="Times New Roman" w:hAnsi="Times New Roman" w:cs="Times New Roman"/>
          <w:sz w:val="24"/>
          <w:szCs w:val="24"/>
        </w:rPr>
        <w:t>Department of Education. (2021). Guidelines on the implementation of School-Based Management in basic education institutions. DepEd Philippines.</w:t>
      </w:r>
    </w:p>
    <w:p w14:paraId="0509FC7C" w14:textId="77777777" w:rsidR="00FB29AB" w:rsidRPr="00FB29AB" w:rsidRDefault="00FB29AB" w:rsidP="00FE44F0">
      <w:pPr>
        <w:spacing w:after="0" w:line="276" w:lineRule="auto"/>
        <w:rPr>
          <w:rFonts w:ascii="Times New Roman" w:hAnsi="Times New Roman" w:cs="Times New Roman"/>
          <w:sz w:val="24"/>
          <w:szCs w:val="24"/>
        </w:rPr>
      </w:pPr>
    </w:p>
    <w:p w14:paraId="6B27E23B" w14:textId="77777777" w:rsidR="00FB29AB" w:rsidRPr="00FB29AB" w:rsidRDefault="00FB29AB" w:rsidP="00FE44F0">
      <w:pPr>
        <w:spacing w:after="0" w:line="276" w:lineRule="auto"/>
        <w:rPr>
          <w:rFonts w:ascii="Times New Roman" w:hAnsi="Times New Roman" w:cs="Times New Roman"/>
          <w:sz w:val="24"/>
          <w:szCs w:val="24"/>
        </w:rPr>
      </w:pPr>
      <w:r w:rsidRPr="00FB29AB">
        <w:rPr>
          <w:rFonts w:ascii="Times New Roman" w:hAnsi="Times New Roman" w:cs="Times New Roman"/>
          <w:sz w:val="24"/>
          <w:szCs w:val="24"/>
        </w:rPr>
        <w:t>Department of Education. (2022). National SBM policy framework and implementation guide. DepEd Philippines.</w:t>
      </w:r>
    </w:p>
    <w:p w14:paraId="741EF2AF" w14:textId="77777777" w:rsidR="00FB29AB" w:rsidRPr="00FB29AB" w:rsidRDefault="00FB29AB" w:rsidP="00FE44F0">
      <w:pPr>
        <w:spacing w:after="0" w:line="276" w:lineRule="auto"/>
        <w:rPr>
          <w:rFonts w:ascii="Times New Roman" w:hAnsi="Times New Roman" w:cs="Times New Roman"/>
          <w:sz w:val="24"/>
          <w:szCs w:val="24"/>
        </w:rPr>
      </w:pPr>
    </w:p>
    <w:p w14:paraId="62510A26" w14:textId="77777777" w:rsidR="00FB29AB" w:rsidRPr="00FB29AB" w:rsidRDefault="00FB29AB" w:rsidP="00FE44F0">
      <w:pPr>
        <w:spacing w:after="0" w:line="276" w:lineRule="auto"/>
        <w:rPr>
          <w:rFonts w:ascii="Times New Roman" w:hAnsi="Times New Roman" w:cs="Times New Roman"/>
          <w:sz w:val="24"/>
          <w:szCs w:val="24"/>
        </w:rPr>
      </w:pPr>
      <w:r w:rsidRPr="00FB29AB">
        <w:rPr>
          <w:rFonts w:ascii="Times New Roman" w:hAnsi="Times New Roman" w:cs="Times New Roman"/>
          <w:sz w:val="24"/>
          <w:szCs w:val="24"/>
        </w:rPr>
        <w:t>Fullan, M., &amp; Quinn, J. (2020). The devil is in the details: System-wide reform for student success. Corwin Press.</w:t>
      </w:r>
    </w:p>
    <w:p w14:paraId="59FF4745" w14:textId="77777777" w:rsidR="00FB29AB" w:rsidRPr="00FB29AB" w:rsidRDefault="00FB29AB" w:rsidP="00FE44F0">
      <w:pPr>
        <w:spacing w:after="0" w:line="276" w:lineRule="auto"/>
        <w:rPr>
          <w:rFonts w:ascii="Times New Roman" w:hAnsi="Times New Roman" w:cs="Times New Roman"/>
          <w:sz w:val="24"/>
          <w:szCs w:val="24"/>
        </w:rPr>
      </w:pPr>
    </w:p>
    <w:p w14:paraId="315DF863" w14:textId="77777777" w:rsidR="00FB29AB" w:rsidRPr="00FB29AB" w:rsidRDefault="00FB29AB" w:rsidP="00FE44F0">
      <w:pPr>
        <w:spacing w:after="0" w:line="276" w:lineRule="auto"/>
        <w:rPr>
          <w:rFonts w:ascii="Times New Roman" w:hAnsi="Times New Roman" w:cs="Times New Roman"/>
          <w:sz w:val="24"/>
          <w:szCs w:val="24"/>
        </w:rPr>
      </w:pPr>
      <w:r w:rsidRPr="00FB29AB">
        <w:rPr>
          <w:rFonts w:ascii="Times New Roman" w:hAnsi="Times New Roman" w:cs="Times New Roman"/>
          <w:sz w:val="24"/>
          <w:szCs w:val="24"/>
        </w:rPr>
        <w:t>Garcia, M., &amp; Rivera, J. (2023). Accountability and performance management in Philippine public schools. Philippine Journal of Public Administration, 67(1), 112–130.</w:t>
      </w:r>
    </w:p>
    <w:p w14:paraId="7D0EAB07" w14:textId="77777777" w:rsidR="00FB29AB" w:rsidRPr="00FB29AB" w:rsidRDefault="00FB29AB" w:rsidP="00FE44F0">
      <w:pPr>
        <w:spacing w:after="0" w:line="276" w:lineRule="auto"/>
        <w:rPr>
          <w:rFonts w:ascii="Times New Roman" w:hAnsi="Times New Roman" w:cs="Times New Roman"/>
          <w:sz w:val="24"/>
          <w:szCs w:val="24"/>
        </w:rPr>
      </w:pPr>
    </w:p>
    <w:p w14:paraId="36C42D2B" w14:textId="77777777" w:rsidR="00FB29AB" w:rsidRPr="00FB29AB" w:rsidRDefault="00FB29AB" w:rsidP="00FE44F0">
      <w:pPr>
        <w:spacing w:after="0" w:line="276" w:lineRule="auto"/>
        <w:rPr>
          <w:rFonts w:ascii="Times New Roman" w:hAnsi="Times New Roman" w:cs="Times New Roman"/>
          <w:sz w:val="24"/>
          <w:szCs w:val="24"/>
        </w:rPr>
      </w:pPr>
      <w:r w:rsidRPr="00FB29AB">
        <w:rPr>
          <w:rFonts w:ascii="Times New Roman" w:hAnsi="Times New Roman" w:cs="Times New Roman"/>
          <w:sz w:val="24"/>
          <w:szCs w:val="24"/>
        </w:rPr>
        <w:t>Gurr, D., Drysdale, L., &amp; Goode, H. (2021). Successful school leadership: International perspectives. Journal of Educational Administration, 59(3), 289–306. https://doi.org/10.1108/JEA-02-2021-0034</w:t>
      </w:r>
    </w:p>
    <w:p w14:paraId="1F05ADC1" w14:textId="77777777" w:rsidR="00FB29AB" w:rsidRPr="00FB29AB" w:rsidRDefault="00FB29AB" w:rsidP="00FE44F0">
      <w:pPr>
        <w:spacing w:after="0" w:line="276" w:lineRule="auto"/>
        <w:rPr>
          <w:rFonts w:ascii="Times New Roman" w:hAnsi="Times New Roman" w:cs="Times New Roman"/>
          <w:sz w:val="24"/>
          <w:szCs w:val="24"/>
        </w:rPr>
      </w:pPr>
    </w:p>
    <w:p w14:paraId="37E78481" w14:textId="77777777" w:rsidR="00FB29AB" w:rsidRPr="00FB29AB" w:rsidRDefault="00FB29AB" w:rsidP="00FE44F0">
      <w:pPr>
        <w:spacing w:after="0" w:line="276" w:lineRule="auto"/>
        <w:rPr>
          <w:rFonts w:ascii="Times New Roman" w:hAnsi="Times New Roman" w:cs="Times New Roman"/>
          <w:sz w:val="24"/>
          <w:szCs w:val="24"/>
        </w:rPr>
      </w:pPr>
      <w:r w:rsidRPr="00FB29AB">
        <w:rPr>
          <w:rFonts w:ascii="Times New Roman" w:hAnsi="Times New Roman" w:cs="Times New Roman"/>
          <w:sz w:val="24"/>
          <w:szCs w:val="24"/>
        </w:rPr>
        <w:t>Harris, A., &amp; Jones, M. (2019). System improvement through collaborative inquiry: The role of professional learning communities. Professional Development in Education, 45(5), 833–849. https://doi.org/10.1080/19415257.2018.1495017</w:t>
      </w:r>
    </w:p>
    <w:p w14:paraId="47D315F7" w14:textId="77777777" w:rsidR="00FB29AB" w:rsidRPr="00FB29AB" w:rsidRDefault="00FB29AB" w:rsidP="00FE44F0">
      <w:pPr>
        <w:spacing w:after="0" w:line="276" w:lineRule="auto"/>
        <w:rPr>
          <w:rFonts w:ascii="Times New Roman" w:hAnsi="Times New Roman" w:cs="Times New Roman"/>
          <w:sz w:val="24"/>
          <w:szCs w:val="24"/>
        </w:rPr>
      </w:pPr>
    </w:p>
    <w:p w14:paraId="07FE7B0D" w14:textId="77777777" w:rsidR="00FB29AB" w:rsidRPr="00FB29AB" w:rsidRDefault="00FB29AB" w:rsidP="00FE44F0">
      <w:pPr>
        <w:spacing w:after="0" w:line="276" w:lineRule="auto"/>
        <w:rPr>
          <w:rFonts w:ascii="Times New Roman" w:hAnsi="Times New Roman" w:cs="Times New Roman"/>
          <w:sz w:val="24"/>
          <w:szCs w:val="24"/>
        </w:rPr>
      </w:pPr>
      <w:r w:rsidRPr="00FB29AB">
        <w:rPr>
          <w:rFonts w:ascii="Times New Roman" w:hAnsi="Times New Roman" w:cs="Times New Roman"/>
          <w:sz w:val="24"/>
          <w:szCs w:val="24"/>
        </w:rPr>
        <w:t>OECD. (2022). Education at a glance: OECD indicators. OECD Publishing. https://doi.org/10.1787/eag-2022-en</w:t>
      </w:r>
    </w:p>
    <w:p w14:paraId="48C35ECA" w14:textId="77777777" w:rsidR="00FB29AB" w:rsidRPr="00FB29AB" w:rsidRDefault="00FB29AB" w:rsidP="00FE44F0">
      <w:pPr>
        <w:spacing w:after="0" w:line="276" w:lineRule="auto"/>
        <w:rPr>
          <w:rFonts w:ascii="Times New Roman" w:hAnsi="Times New Roman" w:cs="Times New Roman"/>
          <w:sz w:val="24"/>
          <w:szCs w:val="24"/>
        </w:rPr>
      </w:pPr>
    </w:p>
    <w:p w14:paraId="0A1846A6" w14:textId="77777777" w:rsidR="00FB29AB" w:rsidRPr="00FB29AB" w:rsidRDefault="00FB29AB" w:rsidP="00FE44F0">
      <w:pPr>
        <w:spacing w:after="0" w:line="276" w:lineRule="auto"/>
        <w:rPr>
          <w:rFonts w:ascii="Times New Roman" w:hAnsi="Times New Roman" w:cs="Times New Roman"/>
          <w:sz w:val="24"/>
          <w:szCs w:val="24"/>
        </w:rPr>
      </w:pPr>
      <w:r w:rsidRPr="00FB29AB">
        <w:rPr>
          <w:rFonts w:ascii="Times New Roman" w:hAnsi="Times New Roman" w:cs="Times New Roman"/>
          <w:sz w:val="24"/>
          <w:szCs w:val="24"/>
        </w:rPr>
        <w:t xml:space="preserve">Palarca, C., &amp; </w:t>
      </w:r>
      <w:proofErr w:type="spellStart"/>
      <w:r w:rsidRPr="00FB29AB">
        <w:rPr>
          <w:rFonts w:ascii="Times New Roman" w:hAnsi="Times New Roman" w:cs="Times New Roman"/>
          <w:sz w:val="24"/>
          <w:szCs w:val="24"/>
        </w:rPr>
        <w:t>Sumalpong</w:t>
      </w:r>
      <w:proofErr w:type="spellEnd"/>
      <w:r w:rsidRPr="00FB29AB">
        <w:rPr>
          <w:rFonts w:ascii="Times New Roman" w:hAnsi="Times New Roman" w:cs="Times New Roman"/>
          <w:sz w:val="24"/>
          <w:szCs w:val="24"/>
        </w:rPr>
        <w:t>, R. (2022). Community participation and SBM implementation in rural Philippine schools: A mixed-methods analysis. Southeast Asian Journal of Education, 43(1), 22–39.</w:t>
      </w:r>
    </w:p>
    <w:p w14:paraId="605B0AEC" w14:textId="77777777" w:rsidR="00FB29AB" w:rsidRPr="00FB29AB" w:rsidRDefault="00FB29AB" w:rsidP="00FE44F0">
      <w:pPr>
        <w:spacing w:after="0" w:line="276" w:lineRule="auto"/>
        <w:rPr>
          <w:rFonts w:ascii="Times New Roman" w:hAnsi="Times New Roman" w:cs="Times New Roman"/>
          <w:sz w:val="24"/>
          <w:szCs w:val="24"/>
        </w:rPr>
      </w:pPr>
    </w:p>
    <w:p w14:paraId="1FBED78D" w14:textId="77777777" w:rsidR="00FB29AB" w:rsidRPr="00FB29AB" w:rsidRDefault="00FB29AB" w:rsidP="00FE44F0">
      <w:pPr>
        <w:spacing w:after="0" w:line="276" w:lineRule="auto"/>
        <w:rPr>
          <w:rFonts w:ascii="Times New Roman" w:hAnsi="Times New Roman" w:cs="Times New Roman"/>
          <w:sz w:val="24"/>
          <w:szCs w:val="24"/>
        </w:rPr>
      </w:pPr>
      <w:r w:rsidRPr="00FB29AB">
        <w:rPr>
          <w:rFonts w:ascii="Times New Roman" w:hAnsi="Times New Roman" w:cs="Times New Roman"/>
          <w:sz w:val="24"/>
          <w:szCs w:val="24"/>
        </w:rPr>
        <w:t>Schleicher, A. (2020). The impact of school leadership on learning outcomes: Evidence from international studies. OECD Publishing.</w:t>
      </w:r>
    </w:p>
    <w:p w14:paraId="77601190" w14:textId="77777777" w:rsidR="00FB29AB" w:rsidRPr="00FB29AB" w:rsidRDefault="00FB29AB" w:rsidP="00FE44F0">
      <w:pPr>
        <w:spacing w:after="0" w:line="276" w:lineRule="auto"/>
        <w:rPr>
          <w:rFonts w:ascii="Times New Roman" w:hAnsi="Times New Roman" w:cs="Times New Roman"/>
          <w:sz w:val="24"/>
          <w:szCs w:val="24"/>
        </w:rPr>
      </w:pPr>
    </w:p>
    <w:p w14:paraId="67B8E3C3" w14:textId="3C96DECF" w:rsidR="00B74CDA" w:rsidRPr="00B74CDA" w:rsidRDefault="00FB29AB" w:rsidP="00FE44F0">
      <w:pPr>
        <w:spacing w:after="0" w:line="276" w:lineRule="auto"/>
        <w:rPr>
          <w:rFonts w:ascii="Times New Roman" w:hAnsi="Times New Roman" w:cs="Times New Roman"/>
          <w:sz w:val="24"/>
          <w:szCs w:val="24"/>
        </w:rPr>
      </w:pPr>
      <w:r w:rsidRPr="00FB29AB">
        <w:rPr>
          <w:rFonts w:ascii="Times New Roman" w:hAnsi="Times New Roman" w:cs="Times New Roman"/>
          <w:sz w:val="24"/>
          <w:szCs w:val="24"/>
        </w:rPr>
        <w:t>World Bank. (2021). Improving teaching and learning through effective school leadership. World Bank Group. https://openknowledge.worldbank.org/handle/10986/36228</w:t>
      </w:r>
      <w:r w:rsidR="00137BAA" w:rsidRPr="00FB29AB">
        <w:rPr>
          <w:rFonts w:ascii="Times New Roman" w:hAnsi="Times New Roman" w:cs="Times New Roman"/>
          <w:sz w:val="24"/>
          <w:szCs w:val="24"/>
        </w:rPr>
        <w:t xml:space="preserve">Chanda, Thelma &amp; Sain, Zohaib &amp; </w:t>
      </w:r>
      <w:proofErr w:type="spellStart"/>
      <w:r w:rsidR="00137BAA" w:rsidRPr="00FB29AB">
        <w:rPr>
          <w:rFonts w:ascii="Times New Roman" w:hAnsi="Times New Roman" w:cs="Times New Roman"/>
          <w:sz w:val="24"/>
          <w:szCs w:val="24"/>
        </w:rPr>
        <w:t>Shogbesan</w:t>
      </w:r>
      <w:proofErr w:type="spellEnd"/>
      <w:r w:rsidR="00137BAA" w:rsidRPr="00FB29AB">
        <w:rPr>
          <w:rFonts w:ascii="Times New Roman" w:hAnsi="Times New Roman" w:cs="Times New Roman"/>
          <w:sz w:val="24"/>
          <w:szCs w:val="24"/>
        </w:rPr>
        <w:t>, Yusuf &amp; Phiri, Edwin &amp; Akpan, Wisdom. (2024). Digital Literacy in Education: Preparing Students for the Future Workforce. International Journal of Research. 11. 327-344. 10.5281/ZENODO.13347718.</w:t>
      </w:r>
    </w:p>
    <w:p w14:paraId="0ECF732C" w14:textId="77777777" w:rsidR="00B74CDA" w:rsidRDefault="00B74CDA" w:rsidP="00FB29AB">
      <w:pPr>
        <w:spacing w:after="0" w:line="276" w:lineRule="auto"/>
        <w:jc w:val="both"/>
        <w:rPr>
          <w:rFonts w:ascii="Times New Roman" w:hAnsi="Times New Roman" w:cs="Times New Roman"/>
          <w:sz w:val="24"/>
          <w:szCs w:val="24"/>
        </w:rPr>
      </w:pPr>
    </w:p>
    <w:sectPr w:rsidR="00B74CDA" w:rsidSect="00D659ED">
      <w:headerReference w:type="default" r:id="rId9"/>
      <w:footerReference w:type="default" r:id="rId10"/>
      <w:pgSz w:w="11907" w:h="16840" w:code="9"/>
      <w:pgMar w:top="680" w:right="907" w:bottom="340" w:left="90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center"/>
    </w:pPr>
    <w:r>
      <w:rPr>
        <w:sz w:val="16"/>
      </w:rPr>
      <w:t xml:space="preserve">© 2025 EPRA IJMR | http://eprajournals.com/ | Journal DOI URL: https://doi.org/10.36713/epra2013 | Page </w:t>
      <w:fldChar w:fldCharType="begin"/>
      <w:instrText>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tbl>
    <w:tblPr>
      <w:tblW w:type="auto" w:w="0"/>
      <w:jc w:val="center"/>
      <w:tblLayout w:type="fixed"/>
      <w:tblLook w:firstColumn="1" w:firstRow="1" w:lastColumn="0" w:lastRow="0" w:noHBand="0" w:noVBand="1" w:val="04A0"/>
      <w:tblBorders>
        <w:top w:val="nil"/>
        <w:left w:val="nil"/>
        <w:bottom w:val="nil"/>
        <w:right w:val="nil"/>
        <w:insideH w:val="nil"/>
        <w:insideV w:val="nil"/>
      </w:tblBorders>
    </w:tblPr>
    <w:tblGrid>
      <w:gridCol w:w="864"/>
      <w:gridCol w:w="10656"/>
    </w:tblGrid>
    <w:tr>
      <w:tc>
        <w:tcPr>
          <w:tcW w:type="dxa" w:w="5760"/>
          <w:tcBorders>
            <w:bottom w:val="double" w:sz="6" w:space="0" w:color="BFBFBF"/>
          </w:tcBorders>
        </w:tcPr>
        <w:p>
          <w:r>
            <w:drawing>
              <wp:inline xmlns:a="http://schemas.openxmlformats.org/drawingml/2006/main" xmlns:pic="http://schemas.openxmlformats.org/drawingml/2006/picture">
                <wp:extent cx="365760" cy="36576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365760" cy="365760"/>
                        </a:xfrm>
                        <a:prstGeom prst="rect"/>
                      </pic:spPr>
                    </pic:pic>
                  </a:graphicData>
                </a:graphic>
              </wp:inline>
            </w:drawing>
          </w:r>
        </w:p>
      </w:tc>
      <w:tc>
        <w:tcPr>
          <w:tcW w:type="dxa" w:w="5760"/>
          <w:tcBorders>
            <w:bottom w:val="double" w:sz="6" w:space="0" w:color="BFBFBF"/>
          </w:tcBorders>
        </w:tcPr>
        <w:p>
          <w:pPr>
            <w:jc w:val="right"/>
          </w:pPr>
          <w:r>
            <w:rPr>
              <w:b/>
              <w:sz w:val="18"/>
            </w:rPr>
            <w:t>ISSN (Online): 2455-3662</w:t>
          </w:r>
        </w:p>
        <w:p>
          <w:pPr>
            <w:jc w:val="center"/>
          </w:pPr>
          <w:r>
            <w:rPr>
              <w:b/>
              <w:sz w:val="22"/>
            </w:rPr>
            <w:t>EPRA International Journal of Multidisciplinary Research (IJMR) - Peer Reviewed Journal</w:t>
          </w:r>
        </w:p>
        <w:p>
          <w:pPr>
            <w:jc w:val="center"/>
          </w:pPr>
          <w:r>
            <w:rPr>
              <w:b/>
              <w:sz w:val="16"/>
            </w:rPr>
            <w:t>Volume:11 | Issue:6 | June 2025 || Journal DOI: 10.36713/epra2013 || SJIF Impact Factor 2025: 8.691 || ISI Value: 1.188</w: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97A5F"/>
    <w:multiLevelType w:val="hybridMultilevel"/>
    <w:tmpl w:val="AA169F94"/>
    <w:lvl w:ilvl="0" w:tplc="B16AB776">
      <w:start w:val="1"/>
      <w:numFmt w:val="lowerLetter"/>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1CD0ED8"/>
    <w:multiLevelType w:val="hybridMultilevel"/>
    <w:tmpl w:val="65944F2C"/>
    <w:lvl w:ilvl="0" w:tplc="45C050B4">
      <w:start w:val="1"/>
      <w:numFmt w:val="decimal"/>
      <w:lvlText w:val="%1."/>
      <w:lvlJc w:val="left"/>
      <w:pPr>
        <w:ind w:left="1080" w:hanging="72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86E50AE"/>
    <w:multiLevelType w:val="hybridMultilevel"/>
    <w:tmpl w:val="DD940E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ABF699E"/>
    <w:multiLevelType w:val="hybridMultilevel"/>
    <w:tmpl w:val="B32897D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13432A1"/>
    <w:multiLevelType w:val="hybridMultilevel"/>
    <w:tmpl w:val="86480E3C"/>
    <w:lvl w:ilvl="0" w:tplc="45C050B4">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1753DDF"/>
    <w:multiLevelType w:val="hybridMultilevel"/>
    <w:tmpl w:val="A24CC4D6"/>
    <w:lvl w:ilvl="0" w:tplc="34090005">
      <w:start w:val="1"/>
      <w:numFmt w:val="bullet"/>
      <w:lvlText w:val=""/>
      <w:lvlJc w:val="left"/>
      <w:pPr>
        <w:ind w:left="360" w:hanging="360"/>
      </w:pPr>
      <w:rPr>
        <w:rFonts w:ascii="Wingdings" w:hAnsi="Wingdings"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6" w15:restartNumberingAfterBreak="0">
    <w:nsid w:val="523B700F"/>
    <w:multiLevelType w:val="hybridMultilevel"/>
    <w:tmpl w:val="9B849B5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88D4FE7"/>
    <w:multiLevelType w:val="hybridMultilevel"/>
    <w:tmpl w:val="3C281774"/>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8" w15:restartNumberingAfterBreak="0">
    <w:nsid w:val="642933EF"/>
    <w:multiLevelType w:val="hybridMultilevel"/>
    <w:tmpl w:val="E4A2A2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642E0688"/>
    <w:multiLevelType w:val="hybridMultilevel"/>
    <w:tmpl w:val="844E0E4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64CB0F19"/>
    <w:multiLevelType w:val="hybridMultilevel"/>
    <w:tmpl w:val="E4D4224A"/>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1" w15:restartNumberingAfterBreak="0">
    <w:nsid w:val="6C082AF0"/>
    <w:multiLevelType w:val="hybridMultilevel"/>
    <w:tmpl w:val="C2B89500"/>
    <w:lvl w:ilvl="0" w:tplc="34090005">
      <w:start w:val="1"/>
      <w:numFmt w:val="bullet"/>
      <w:lvlText w:val=""/>
      <w:lvlJc w:val="left"/>
      <w:pPr>
        <w:ind w:left="360" w:hanging="360"/>
      </w:pPr>
      <w:rPr>
        <w:rFonts w:ascii="Wingdings" w:hAnsi="Wingdings"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2" w15:restartNumberingAfterBreak="0">
    <w:nsid w:val="6FA8563C"/>
    <w:multiLevelType w:val="hybridMultilevel"/>
    <w:tmpl w:val="E8AA6622"/>
    <w:lvl w:ilvl="0" w:tplc="3409000F">
      <w:start w:val="1"/>
      <w:numFmt w:val="decimal"/>
      <w:lvlText w:val="%1."/>
      <w:lvlJc w:val="left"/>
      <w:pPr>
        <w:ind w:left="720" w:hanging="360"/>
      </w:pPr>
      <w:rPr>
        <w:rFonts w:hint="default"/>
      </w:rPr>
    </w:lvl>
    <w:lvl w:ilvl="1" w:tplc="A5A4F2B0">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71E82745"/>
    <w:multiLevelType w:val="hybridMultilevel"/>
    <w:tmpl w:val="A38CCC1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7A7F1FDC"/>
    <w:multiLevelType w:val="hybridMultilevel"/>
    <w:tmpl w:val="EFDA3F5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219971167">
    <w:abstractNumId w:val="2"/>
  </w:num>
  <w:num w:numId="2" w16cid:durableId="1434865719">
    <w:abstractNumId w:val="4"/>
  </w:num>
  <w:num w:numId="3" w16cid:durableId="473134278">
    <w:abstractNumId w:val="1"/>
  </w:num>
  <w:num w:numId="4" w16cid:durableId="345794378">
    <w:abstractNumId w:val="0"/>
  </w:num>
  <w:num w:numId="5" w16cid:durableId="1423842277">
    <w:abstractNumId w:val="13"/>
  </w:num>
  <w:num w:numId="6" w16cid:durableId="561139191">
    <w:abstractNumId w:val="9"/>
  </w:num>
  <w:num w:numId="7" w16cid:durableId="515847450">
    <w:abstractNumId w:val="6"/>
  </w:num>
  <w:num w:numId="8" w16cid:durableId="797838875">
    <w:abstractNumId w:val="12"/>
  </w:num>
  <w:num w:numId="9" w16cid:durableId="1832407007">
    <w:abstractNumId w:val="11"/>
  </w:num>
  <w:num w:numId="10" w16cid:durableId="1037001025">
    <w:abstractNumId w:val="5"/>
  </w:num>
  <w:num w:numId="11" w16cid:durableId="492526370">
    <w:abstractNumId w:val="10"/>
  </w:num>
  <w:num w:numId="12" w16cid:durableId="1398162938">
    <w:abstractNumId w:val="3"/>
  </w:num>
  <w:num w:numId="13" w16cid:durableId="1189950163">
    <w:abstractNumId w:val="14"/>
  </w:num>
  <w:num w:numId="14" w16cid:durableId="1763793671">
    <w:abstractNumId w:val="8"/>
  </w:num>
  <w:num w:numId="15" w16cid:durableId="11118229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revisionView w:inkAnnotations="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ED"/>
    <w:rsid w:val="00020B0D"/>
    <w:rsid w:val="0002480D"/>
    <w:rsid w:val="0006288B"/>
    <w:rsid w:val="00072AAF"/>
    <w:rsid w:val="00092BBC"/>
    <w:rsid w:val="0009403C"/>
    <w:rsid w:val="00094E65"/>
    <w:rsid w:val="000A56A3"/>
    <w:rsid w:val="000A65B2"/>
    <w:rsid w:val="000A7C07"/>
    <w:rsid w:val="000C370B"/>
    <w:rsid w:val="000C3A49"/>
    <w:rsid w:val="000F2B1A"/>
    <w:rsid w:val="000F2CAF"/>
    <w:rsid w:val="000F762E"/>
    <w:rsid w:val="00124490"/>
    <w:rsid w:val="00126A3D"/>
    <w:rsid w:val="001338B7"/>
    <w:rsid w:val="00135AB3"/>
    <w:rsid w:val="00137AFC"/>
    <w:rsid w:val="00137BAA"/>
    <w:rsid w:val="00143743"/>
    <w:rsid w:val="00145E1A"/>
    <w:rsid w:val="00152B6F"/>
    <w:rsid w:val="001747C5"/>
    <w:rsid w:val="0019518E"/>
    <w:rsid w:val="001A3271"/>
    <w:rsid w:val="001B11C2"/>
    <w:rsid w:val="001B77F2"/>
    <w:rsid w:val="00201A72"/>
    <w:rsid w:val="00206648"/>
    <w:rsid w:val="00211849"/>
    <w:rsid w:val="00232EE7"/>
    <w:rsid w:val="00243A1E"/>
    <w:rsid w:val="00243BCB"/>
    <w:rsid w:val="0024763B"/>
    <w:rsid w:val="00254BB3"/>
    <w:rsid w:val="002574B6"/>
    <w:rsid w:val="00286BC6"/>
    <w:rsid w:val="002A3C81"/>
    <w:rsid w:val="002A5F44"/>
    <w:rsid w:val="002B7BED"/>
    <w:rsid w:val="002E553C"/>
    <w:rsid w:val="002F0287"/>
    <w:rsid w:val="003064AC"/>
    <w:rsid w:val="00330BF7"/>
    <w:rsid w:val="00336ECB"/>
    <w:rsid w:val="00393BE7"/>
    <w:rsid w:val="003941E9"/>
    <w:rsid w:val="003D6F51"/>
    <w:rsid w:val="003E583E"/>
    <w:rsid w:val="004140EA"/>
    <w:rsid w:val="0043276B"/>
    <w:rsid w:val="00434596"/>
    <w:rsid w:val="00463257"/>
    <w:rsid w:val="00496367"/>
    <w:rsid w:val="004A27F3"/>
    <w:rsid w:val="004C1147"/>
    <w:rsid w:val="004C1597"/>
    <w:rsid w:val="004C7C40"/>
    <w:rsid w:val="004D1741"/>
    <w:rsid w:val="004F4BD9"/>
    <w:rsid w:val="0053504E"/>
    <w:rsid w:val="00544128"/>
    <w:rsid w:val="00554AD1"/>
    <w:rsid w:val="005614FA"/>
    <w:rsid w:val="00563127"/>
    <w:rsid w:val="0056600A"/>
    <w:rsid w:val="00590086"/>
    <w:rsid w:val="005A01BD"/>
    <w:rsid w:val="005D439D"/>
    <w:rsid w:val="00622D71"/>
    <w:rsid w:val="00623E9F"/>
    <w:rsid w:val="00626662"/>
    <w:rsid w:val="00630001"/>
    <w:rsid w:val="006348FC"/>
    <w:rsid w:val="0064790B"/>
    <w:rsid w:val="00692B4A"/>
    <w:rsid w:val="006B277A"/>
    <w:rsid w:val="006B312B"/>
    <w:rsid w:val="006C08BA"/>
    <w:rsid w:val="006F0E3F"/>
    <w:rsid w:val="00705CB4"/>
    <w:rsid w:val="00717C2B"/>
    <w:rsid w:val="00724288"/>
    <w:rsid w:val="00757F27"/>
    <w:rsid w:val="00760397"/>
    <w:rsid w:val="00771EEA"/>
    <w:rsid w:val="00782DDB"/>
    <w:rsid w:val="00797BBD"/>
    <w:rsid w:val="007B791D"/>
    <w:rsid w:val="007C060E"/>
    <w:rsid w:val="00803EFA"/>
    <w:rsid w:val="008213BA"/>
    <w:rsid w:val="00831FAA"/>
    <w:rsid w:val="008414DE"/>
    <w:rsid w:val="00853932"/>
    <w:rsid w:val="00862614"/>
    <w:rsid w:val="00873040"/>
    <w:rsid w:val="00895F13"/>
    <w:rsid w:val="008A0E55"/>
    <w:rsid w:val="008A42F8"/>
    <w:rsid w:val="008B517F"/>
    <w:rsid w:val="008C05A0"/>
    <w:rsid w:val="008C0F09"/>
    <w:rsid w:val="008F7006"/>
    <w:rsid w:val="00907364"/>
    <w:rsid w:val="00925320"/>
    <w:rsid w:val="00927B37"/>
    <w:rsid w:val="009328A0"/>
    <w:rsid w:val="009336E0"/>
    <w:rsid w:val="009367B4"/>
    <w:rsid w:val="00947A48"/>
    <w:rsid w:val="0097527C"/>
    <w:rsid w:val="009774E0"/>
    <w:rsid w:val="00985CD8"/>
    <w:rsid w:val="009C20DD"/>
    <w:rsid w:val="009C2578"/>
    <w:rsid w:val="009C35E8"/>
    <w:rsid w:val="009E096E"/>
    <w:rsid w:val="009E0BF7"/>
    <w:rsid w:val="009E64F1"/>
    <w:rsid w:val="009F6FB2"/>
    <w:rsid w:val="00A10A29"/>
    <w:rsid w:val="00A131B5"/>
    <w:rsid w:val="00A158D3"/>
    <w:rsid w:val="00A22F24"/>
    <w:rsid w:val="00A34A3C"/>
    <w:rsid w:val="00A41C8E"/>
    <w:rsid w:val="00A61761"/>
    <w:rsid w:val="00A62427"/>
    <w:rsid w:val="00A71F8E"/>
    <w:rsid w:val="00A77E79"/>
    <w:rsid w:val="00AB1CF7"/>
    <w:rsid w:val="00AD0054"/>
    <w:rsid w:val="00AF0488"/>
    <w:rsid w:val="00B0549B"/>
    <w:rsid w:val="00B20277"/>
    <w:rsid w:val="00B24F31"/>
    <w:rsid w:val="00B47A4A"/>
    <w:rsid w:val="00B71038"/>
    <w:rsid w:val="00B74CDA"/>
    <w:rsid w:val="00BB6EB0"/>
    <w:rsid w:val="00BB6F1D"/>
    <w:rsid w:val="00C12A97"/>
    <w:rsid w:val="00C14B2A"/>
    <w:rsid w:val="00C1667D"/>
    <w:rsid w:val="00C17E82"/>
    <w:rsid w:val="00C338EB"/>
    <w:rsid w:val="00C36E98"/>
    <w:rsid w:val="00C4633B"/>
    <w:rsid w:val="00C46BA5"/>
    <w:rsid w:val="00C63873"/>
    <w:rsid w:val="00C7139B"/>
    <w:rsid w:val="00C86D3D"/>
    <w:rsid w:val="00CA4A67"/>
    <w:rsid w:val="00CA4E5E"/>
    <w:rsid w:val="00CB68A5"/>
    <w:rsid w:val="00CC1BDD"/>
    <w:rsid w:val="00CC27BC"/>
    <w:rsid w:val="00CD5626"/>
    <w:rsid w:val="00CF2BC6"/>
    <w:rsid w:val="00D174BD"/>
    <w:rsid w:val="00D245AC"/>
    <w:rsid w:val="00D3069E"/>
    <w:rsid w:val="00D359AA"/>
    <w:rsid w:val="00D416A0"/>
    <w:rsid w:val="00D51543"/>
    <w:rsid w:val="00D659ED"/>
    <w:rsid w:val="00D962E9"/>
    <w:rsid w:val="00D9646D"/>
    <w:rsid w:val="00DC4738"/>
    <w:rsid w:val="00DC69C4"/>
    <w:rsid w:val="00DD7BD1"/>
    <w:rsid w:val="00DE03B1"/>
    <w:rsid w:val="00DF206D"/>
    <w:rsid w:val="00DF5632"/>
    <w:rsid w:val="00E14063"/>
    <w:rsid w:val="00E159BD"/>
    <w:rsid w:val="00E304DD"/>
    <w:rsid w:val="00E44ED9"/>
    <w:rsid w:val="00E51521"/>
    <w:rsid w:val="00E51C20"/>
    <w:rsid w:val="00E57726"/>
    <w:rsid w:val="00E66DC1"/>
    <w:rsid w:val="00E738FA"/>
    <w:rsid w:val="00E8449B"/>
    <w:rsid w:val="00E87DEF"/>
    <w:rsid w:val="00E93CD8"/>
    <w:rsid w:val="00EB0224"/>
    <w:rsid w:val="00EC130F"/>
    <w:rsid w:val="00EC170B"/>
    <w:rsid w:val="00EF2619"/>
    <w:rsid w:val="00F0427A"/>
    <w:rsid w:val="00F32DF6"/>
    <w:rsid w:val="00F364C4"/>
    <w:rsid w:val="00F371AE"/>
    <w:rsid w:val="00F37EDF"/>
    <w:rsid w:val="00F543E0"/>
    <w:rsid w:val="00F75EDD"/>
    <w:rsid w:val="00F80131"/>
    <w:rsid w:val="00F86360"/>
    <w:rsid w:val="00FA0570"/>
    <w:rsid w:val="00FA4FB2"/>
    <w:rsid w:val="00FB29AB"/>
    <w:rsid w:val="00FC4889"/>
    <w:rsid w:val="00FD57A9"/>
    <w:rsid w:val="00FD5C67"/>
    <w:rsid w:val="00FE44F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7D65EB"/>
  <w15:chartTrackingRefBased/>
  <w15:docId w15:val="{3917DA92-6E52-4AAB-9A7F-93CAE0DDB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05CB4"/>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lang w:val="en-US"/>
      <w14:ligatures w14:val="none"/>
    </w:rPr>
  </w:style>
  <w:style w:type="paragraph" w:styleId="Heading3">
    <w:name w:val="heading 3"/>
    <w:basedOn w:val="Normal"/>
    <w:next w:val="Normal"/>
    <w:link w:val="Heading3Char"/>
    <w:uiPriority w:val="9"/>
    <w:semiHidden/>
    <w:unhideWhenUsed/>
    <w:qFormat/>
    <w:rsid w:val="009752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33B"/>
    <w:pPr>
      <w:ind w:left="720"/>
      <w:contextualSpacing/>
    </w:pPr>
  </w:style>
  <w:style w:type="paragraph" w:styleId="NormalWeb">
    <w:name w:val="Normal (Web)"/>
    <w:basedOn w:val="Normal"/>
    <w:uiPriority w:val="99"/>
    <w:unhideWhenUsed/>
    <w:rsid w:val="00B0549B"/>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Strong">
    <w:name w:val="Strong"/>
    <w:basedOn w:val="DefaultParagraphFont"/>
    <w:uiPriority w:val="22"/>
    <w:qFormat/>
    <w:rsid w:val="00B0549B"/>
    <w:rPr>
      <w:b/>
      <w:bCs/>
    </w:rPr>
  </w:style>
  <w:style w:type="character" w:styleId="Hyperlink">
    <w:name w:val="Hyperlink"/>
    <w:basedOn w:val="DefaultParagraphFont"/>
    <w:uiPriority w:val="99"/>
    <w:unhideWhenUsed/>
    <w:rsid w:val="00853932"/>
    <w:rPr>
      <w:color w:val="0563C1" w:themeColor="hyperlink"/>
      <w:u w:val="single"/>
    </w:rPr>
  </w:style>
  <w:style w:type="character" w:styleId="UnresolvedMention">
    <w:name w:val="Unresolved Mention"/>
    <w:basedOn w:val="DefaultParagraphFont"/>
    <w:uiPriority w:val="99"/>
    <w:semiHidden/>
    <w:unhideWhenUsed/>
    <w:rsid w:val="00853932"/>
    <w:rPr>
      <w:color w:val="605E5C"/>
      <w:shd w:val="clear" w:color="auto" w:fill="E1DFDD"/>
    </w:rPr>
  </w:style>
  <w:style w:type="character" w:customStyle="1" w:styleId="Heading2Char">
    <w:name w:val="Heading 2 Char"/>
    <w:basedOn w:val="DefaultParagraphFont"/>
    <w:link w:val="Heading2"/>
    <w:uiPriority w:val="9"/>
    <w:semiHidden/>
    <w:rsid w:val="00705CB4"/>
    <w:rPr>
      <w:rFonts w:asciiTheme="majorHAnsi" w:eastAsiaTheme="majorEastAsia" w:hAnsiTheme="majorHAnsi" w:cstheme="majorBidi"/>
      <w:b/>
      <w:bCs/>
      <w:color w:val="4472C4" w:themeColor="accent1"/>
      <w:kern w:val="0"/>
      <w:sz w:val="26"/>
      <w:szCs w:val="26"/>
      <w:lang w:val="en-US"/>
      <w14:ligatures w14:val="none"/>
    </w:rPr>
  </w:style>
  <w:style w:type="table" w:styleId="TableGrid">
    <w:name w:val="Table Grid"/>
    <w:basedOn w:val="TableNormal"/>
    <w:uiPriority w:val="59"/>
    <w:rsid w:val="00705CB4"/>
    <w:pPr>
      <w:spacing w:after="0" w:line="240" w:lineRule="auto"/>
    </w:pPr>
    <w:rPr>
      <w:rFonts w:eastAsiaTheme="minorEastAsia"/>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7527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85668">
      <w:bodyDiv w:val="1"/>
      <w:marLeft w:val="0"/>
      <w:marRight w:val="0"/>
      <w:marTop w:val="0"/>
      <w:marBottom w:val="0"/>
      <w:divBdr>
        <w:top w:val="none" w:sz="0" w:space="0" w:color="auto"/>
        <w:left w:val="none" w:sz="0" w:space="0" w:color="auto"/>
        <w:bottom w:val="none" w:sz="0" w:space="0" w:color="auto"/>
        <w:right w:val="none" w:sz="0" w:space="0" w:color="auto"/>
      </w:divBdr>
    </w:div>
    <w:div w:id="40792915">
      <w:bodyDiv w:val="1"/>
      <w:marLeft w:val="0"/>
      <w:marRight w:val="0"/>
      <w:marTop w:val="0"/>
      <w:marBottom w:val="0"/>
      <w:divBdr>
        <w:top w:val="none" w:sz="0" w:space="0" w:color="auto"/>
        <w:left w:val="none" w:sz="0" w:space="0" w:color="auto"/>
        <w:bottom w:val="none" w:sz="0" w:space="0" w:color="auto"/>
        <w:right w:val="none" w:sz="0" w:space="0" w:color="auto"/>
      </w:divBdr>
      <w:divsChild>
        <w:div w:id="708801860">
          <w:marLeft w:val="0"/>
          <w:marRight w:val="0"/>
          <w:marTop w:val="0"/>
          <w:marBottom w:val="0"/>
          <w:divBdr>
            <w:top w:val="none" w:sz="0" w:space="0" w:color="auto"/>
            <w:left w:val="none" w:sz="0" w:space="0" w:color="auto"/>
            <w:bottom w:val="none" w:sz="0" w:space="0" w:color="auto"/>
            <w:right w:val="none" w:sz="0" w:space="0" w:color="auto"/>
          </w:divBdr>
        </w:div>
        <w:div w:id="1238780831">
          <w:marLeft w:val="0"/>
          <w:marRight w:val="0"/>
          <w:marTop w:val="0"/>
          <w:marBottom w:val="0"/>
          <w:divBdr>
            <w:top w:val="none" w:sz="0" w:space="0" w:color="auto"/>
            <w:left w:val="none" w:sz="0" w:space="0" w:color="auto"/>
            <w:bottom w:val="none" w:sz="0" w:space="0" w:color="auto"/>
            <w:right w:val="none" w:sz="0" w:space="0" w:color="auto"/>
          </w:divBdr>
        </w:div>
        <w:div w:id="539709682">
          <w:marLeft w:val="0"/>
          <w:marRight w:val="0"/>
          <w:marTop w:val="0"/>
          <w:marBottom w:val="0"/>
          <w:divBdr>
            <w:top w:val="none" w:sz="0" w:space="0" w:color="auto"/>
            <w:left w:val="none" w:sz="0" w:space="0" w:color="auto"/>
            <w:bottom w:val="none" w:sz="0" w:space="0" w:color="auto"/>
            <w:right w:val="none" w:sz="0" w:space="0" w:color="auto"/>
          </w:divBdr>
        </w:div>
      </w:divsChild>
    </w:div>
    <w:div w:id="52506635">
      <w:bodyDiv w:val="1"/>
      <w:marLeft w:val="0"/>
      <w:marRight w:val="0"/>
      <w:marTop w:val="0"/>
      <w:marBottom w:val="0"/>
      <w:divBdr>
        <w:top w:val="none" w:sz="0" w:space="0" w:color="auto"/>
        <w:left w:val="none" w:sz="0" w:space="0" w:color="auto"/>
        <w:bottom w:val="none" w:sz="0" w:space="0" w:color="auto"/>
        <w:right w:val="none" w:sz="0" w:space="0" w:color="auto"/>
      </w:divBdr>
    </w:div>
    <w:div w:id="61762115">
      <w:bodyDiv w:val="1"/>
      <w:marLeft w:val="0"/>
      <w:marRight w:val="0"/>
      <w:marTop w:val="0"/>
      <w:marBottom w:val="0"/>
      <w:divBdr>
        <w:top w:val="none" w:sz="0" w:space="0" w:color="auto"/>
        <w:left w:val="none" w:sz="0" w:space="0" w:color="auto"/>
        <w:bottom w:val="none" w:sz="0" w:space="0" w:color="auto"/>
        <w:right w:val="none" w:sz="0" w:space="0" w:color="auto"/>
      </w:divBdr>
    </w:div>
    <w:div w:id="90199461">
      <w:bodyDiv w:val="1"/>
      <w:marLeft w:val="0"/>
      <w:marRight w:val="0"/>
      <w:marTop w:val="0"/>
      <w:marBottom w:val="0"/>
      <w:divBdr>
        <w:top w:val="none" w:sz="0" w:space="0" w:color="auto"/>
        <w:left w:val="none" w:sz="0" w:space="0" w:color="auto"/>
        <w:bottom w:val="none" w:sz="0" w:space="0" w:color="auto"/>
        <w:right w:val="none" w:sz="0" w:space="0" w:color="auto"/>
      </w:divBdr>
      <w:divsChild>
        <w:div w:id="127164083">
          <w:marLeft w:val="0"/>
          <w:marRight w:val="0"/>
          <w:marTop w:val="0"/>
          <w:marBottom w:val="0"/>
          <w:divBdr>
            <w:top w:val="none" w:sz="0" w:space="0" w:color="auto"/>
            <w:left w:val="none" w:sz="0" w:space="0" w:color="auto"/>
            <w:bottom w:val="none" w:sz="0" w:space="0" w:color="auto"/>
            <w:right w:val="none" w:sz="0" w:space="0" w:color="auto"/>
          </w:divBdr>
        </w:div>
        <w:div w:id="695889861">
          <w:marLeft w:val="0"/>
          <w:marRight w:val="0"/>
          <w:marTop w:val="0"/>
          <w:marBottom w:val="0"/>
          <w:divBdr>
            <w:top w:val="none" w:sz="0" w:space="0" w:color="auto"/>
            <w:left w:val="none" w:sz="0" w:space="0" w:color="auto"/>
            <w:bottom w:val="none" w:sz="0" w:space="0" w:color="auto"/>
            <w:right w:val="none" w:sz="0" w:space="0" w:color="auto"/>
          </w:divBdr>
        </w:div>
      </w:divsChild>
    </w:div>
    <w:div w:id="110445726">
      <w:bodyDiv w:val="1"/>
      <w:marLeft w:val="0"/>
      <w:marRight w:val="0"/>
      <w:marTop w:val="0"/>
      <w:marBottom w:val="0"/>
      <w:divBdr>
        <w:top w:val="none" w:sz="0" w:space="0" w:color="auto"/>
        <w:left w:val="none" w:sz="0" w:space="0" w:color="auto"/>
        <w:bottom w:val="none" w:sz="0" w:space="0" w:color="auto"/>
        <w:right w:val="none" w:sz="0" w:space="0" w:color="auto"/>
      </w:divBdr>
      <w:divsChild>
        <w:div w:id="1494297563">
          <w:marLeft w:val="0"/>
          <w:marRight w:val="0"/>
          <w:marTop w:val="0"/>
          <w:marBottom w:val="0"/>
          <w:divBdr>
            <w:top w:val="none" w:sz="0" w:space="0" w:color="auto"/>
            <w:left w:val="none" w:sz="0" w:space="0" w:color="auto"/>
            <w:bottom w:val="none" w:sz="0" w:space="0" w:color="auto"/>
            <w:right w:val="none" w:sz="0" w:space="0" w:color="auto"/>
          </w:divBdr>
        </w:div>
      </w:divsChild>
    </w:div>
    <w:div w:id="126899679">
      <w:bodyDiv w:val="1"/>
      <w:marLeft w:val="0"/>
      <w:marRight w:val="0"/>
      <w:marTop w:val="0"/>
      <w:marBottom w:val="0"/>
      <w:divBdr>
        <w:top w:val="none" w:sz="0" w:space="0" w:color="auto"/>
        <w:left w:val="none" w:sz="0" w:space="0" w:color="auto"/>
        <w:bottom w:val="none" w:sz="0" w:space="0" w:color="auto"/>
        <w:right w:val="none" w:sz="0" w:space="0" w:color="auto"/>
      </w:divBdr>
    </w:div>
    <w:div w:id="127667725">
      <w:bodyDiv w:val="1"/>
      <w:marLeft w:val="0"/>
      <w:marRight w:val="0"/>
      <w:marTop w:val="0"/>
      <w:marBottom w:val="0"/>
      <w:divBdr>
        <w:top w:val="none" w:sz="0" w:space="0" w:color="auto"/>
        <w:left w:val="none" w:sz="0" w:space="0" w:color="auto"/>
        <w:bottom w:val="none" w:sz="0" w:space="0" w:color="auto"/>
        <w:right w:val="none" w:sz="0" w:space="0" w:color="auto"/>
      </w:divBdr>
    </w:div>
    <w:div w:id="172038144">
      <w:bodyDiv w:val="1"/>
      <w:marLeft w:val="0"/>
      <w:marRight w:val="0"/>
      <w:marTop w:val="0"/>
      <w:marBottom w:val="0"/>
      <w:divBdr>
        <w:top w:val="none" w:sz="0" w:space="0" w:color="auto"/>
        <w:left w:val="none" w:sz="0" w:space="0" w:color="auto"/>
        <w:bottom w:val="none" w:sz="0" w:space="0" w:color="auto"/>
        <w:right w:val="none" w:sz="0" w:space="0" w:color="auto"/>
      </w:divBdr>
    </w:div>
    <w:div w:id="181479424">
      <w:bodyDiv w:val="1"/>
      <w:marLeft w:val="0"/>
      <w:marRight w:val="0"/>
      <w:marTop w:val="0"/>
      <w:marBottom w:val="0"/>
      <w:divBdr>
        <w:top w:val="none" w:sz="0" w:space="0" w:color="auto"/>
        <w:left w:val="none" w:sz="0" w:space="0" w:color="auto"/>
        <w:bottom w:val="none" w:sz="0" w:space="0" w:color="auto"/>
        <w:right w:val="none" w:sz="0" w:space="0" w:color="auto"/>
      </w:divBdr>
    </w:div>
    <w:div w:id="208343186">
      <w:bodyDiv w:val="1"/>
      <w:marLeft w:val="0"/>
      <w:marRight w:val="0"/>
      <w:marTop w:val="0"/>
      <w:marBottom w:val="0"/>
      <w:divBdr>
        <w:top w:val="none" w:sz="0" w:space="0" w:color="auto"/>
        <w:left w:val="none" w:sz="0" w:space="0" w:color="auto"/>
        <w:bottom w:val="none" w:sz="0" w:space="0" w:color="auto"/>
        <w:right w:val="none" w:sz="0" w:space="0" w:color="auto"/>
      </w:divBdr>
    </w:div>
    <w:div w:id="222721217">
      <w:bodyDiv w:val="1"/>
      <w:marLeft w:val="0"/>
      <w:marRight w:val="0"/>
      <w:marTop w:val="0"/>
      <w:marBottom w:val="0"/>
      <w:divBdr>
        <w:top w:val="none" w:sz="0" w:space="0" w:color="auto"/>
        <w:left w:val="none" w:sz="0" w:space="0" w:color="auto"/>
        <w:bottom w:val="none" w:sz="0" w:space="0" w:color="auto"/>
        <w:right w:val="none" w:sz="0" w:space="0" w:color="auto"/>
      </w:divBdr>
    </w:div>
    <w:div w:id="224531049">
      <w:bodyDiv w:val="1"/>
      <w:marLeft w:val="0"/>
      <w:marRight w:val="0"/>
      <w:marTop w:val="0"/>
      <w:marBottom w:val="0"/>
      <w:divBdr>
        <w:top w:val="none" w:sz="0" w:space="0" w:color="auto"/>
        <w:left w:val="none" w:sz="0" w:space="0" w:color="auto"/>
        <w:bottom w:val="none" w:sz="0" w:space="0" w:color="auto"/>
        <w:right w:val="none" w:sz="0" w:space="0" w:color="auto"/>
      </w:divBdr>
    </w:div>
    <w:div w:id="251090078">
      <w:bodyDiv w:val="1"/>
      <w:marLeft w:val="0"/>
      <w:marRight w:val="0"/>
      <w:marTop w:val="0"/>
      <w:marBottom w:val="0"/>
      <w:divBdr>
        <w:top w:val="none" w:sz="0" w:space="0" w:color="auto"/>
        <w:left w:val="none" w:sz="0" w:space="0" w:color="auto"/>
        <w:bottom w:val="none" w:sz="0" w:space="0" w:color="auto"/>
        <w:right w:val="none" w:sz="0" w:space="0" w:color="auto"/>
      </w:divBdr>
    </w:div>
    <w:div w:id="389109497">
      <w:bodyDiv w:val="1"/>
      <w:marLeft w:val="0"/>
      <w:marRight w:val="0"/>
      <w:marTop w:val="0"/>
      <w:marBottom w:val="0"/>
      <w:divBdr>
        <w:top w:val="none" w:sz="0" w:space="0" w:color="auto"/>
        <w:left w:val="none" w:sz="0" w:space="0" w:color="auto"/>
        <w:bottom w:val="none" w:sz="0" w:space="0" w:color="auto"/>
        <w:right w:val="none" w:sz="0" w:space="0" w:color="auto"/>
      </w:divBdr>
    </w:div>
    <w:div w:id="407118180">
      <w:bodyDiv w:val="1"/>
      <w:marLeft w:val="0"/>
      <w:marRight w:val="0"/>
      <w:marTop w:val="0"/>
      <w:marBottom w:val="0"/>
      <w:divBdr>
        <w:top w:val="none" w:sz="0" w:space="0" w:color="auto"/>
        <w:left w:val="none" w:sz="0" w:space="0" w:color="auto"/>
        <w:bottom w:val="none" w:sz="0" w:space="0" w:color="auto"/>
        <w:right w:val="none" w:sz="0" w:space="0" w:color="auto"/>
      </w:divBdr>
    </w:div>
    <w:div w:id="457526289">
      <w:bodyDiv w:val="1"/>
      <w:marLeft w:val="0"/>
      <w:marRight w:val="0"/>
      <w:marTop w:val="0"/>
      <w:marBottom w:val="0"/>
      <w:divBdr>
        <w:top w:val="none" w:sz="0" w:space="0" w:color="auto"/>
        <w:left w:val="none" w:sz="0" w:space="0" w:color="auto"/>
        <w:bottom w:val="none" w:sz="0" w:space="0" w:color="auto"/>
        <w:right w:val="none" w:sz="0" w:space="0" w:color="auto"/>
      </w:divBdr>
    </w:div>
    <w:div w:id="469056567">
      <w:bodyDiv w:val="1"/>
      <w:marLeft w:val="0"/>
      <w:marRight w:val="0"/>
      <w:marTop w:val="0"/>
      <w:marBottom w:val="0"/>
      <w:divBdr>
        <w:top w:val="none" w:sz="0" w:space="0" w:color="auto"/>
        <w:left w:val="none" w:sz="0" w:space="0" w:color="auto"/>
        <w:bottom w:val="none" w:sz="0" w:space="0" w:color="auto"/>
        <w:right w:val="none" w:sz="0" w:space="0" w:color="auto"/>
      </w:divBdr>
    </w:div>
    <w:div w:id="503277530">
      <w:bodyDiv w:val="1"/>
      <w:marLeft w:val="0"/>
      <w:marRight w:val="0"/>
      <w:marTop w:val="0"/>
      <w:marBottom w:val="0"/>
      <w:divBdr>
        <w:top w:val="none" w:sz="0" w:space="0" w:color="auto"/>
        <w:left w:val="none" w:sz="0" w:space="0" w:color="auto"/>
        <w:bottom w:val="none" w:sz="0" w:space="0" w:color="auto"/>
        <w:right w:val="none" w:sz="0" w:space="0" w:color="auto"/>
      </w:divBdr>
    </w:div>
    <w:div w:id="505243320">
      <w:bodyDiv w:val="1"/>
      <w:marLeft w:val="0"/>
      <w:marRight w:val="0"/>
      <w:marTop w:val="0"/>
      <w:marBottom w:val="0"/>
      <w:divBdr>
        <w:top w:val="none" w:sz="0" w:space="0" w:color="auto"/>
        <w:left w:val="none" w:sz="0" w:space="0" w:color="auto"/>
        <w:bottom w:val="none" w:sz="0" w:space="0" w:color="auto"/>
        <w:right w:val="none" w:sz="0" w:space="0" w:color="auto"/>
      </w:divBdr>
    </w:div>
    <w:div w:id="506679788">
      <w:bodyDiv w:val="1"/>
      <w:marLeft w:val="0"/>
      <w:marRight w:val="0"/>
      <w:marTop w:val="0"/>
      <w:marBottom w:val="0"/>
      <w:divBdr>
        <w:top w:val="none" w:sz="0" w:space="0" w:color="auto"/>
        <w:left w:val="none" w:sz="0" w:space="0" w:color="auto"/>
        <w:bottom w:val="none" w:sz="0" w:space="0" w:color="auto"/>
        <w:right w:val="none" w:sz="0" w:space="0" w:color="auto"/>
      </w:divBdr>
    </w:div>
    <w:div w:id="521017462">
      <w:bodyDiv w:val="1"/>
      <w:marLeft w:val="0"/>
      <w:marRight w:val="0"/>
      <w:marTop w:val="0"/>
      <w:marBottom w:val="0"/>
      <w:divBdr>
        <w:top w:val="none" w:sz="0" w:space="0" w:color="auto"/>
        <w:left w:val="none" w:sz="0" w:space="0" w:color="auto"/>
        <w:bottom w:val="none" w:sz="0" w:space="0" w:color="auto"/>
        <w:right w:val="none" w:sz="0" w:space="0" w:color="auto"/>
      </w:divBdr>
    </w:div>
    <w:div w:id="542988112">
      <w:bodyDiv w:val="1"/>
      <w:marLeft w:val="0"/>
      <w:marRight w:val="0"/>
      <w:marTop w:val="0"/>
      <w:marBottom w:val="0"/>
      <w:divBdr>
        <w:top w:val="none" w:sz="0" w:space="0" w:color="auto"/>
        <w:left w:val="none" w:sz="0" w:space="0" w:color="auto"/>
        <w:bottom w:val="none" w:sz="0" w:space="0" w:color="auto"/>
        <w:right w:val="none" w:sz="0" w:space="0" w:color="auto"/>
      </w:divBdr>
    </w:div>
    <w:div w:id="557396102">
      <w:bodyDiv w:val="1"/>
      <w:marLeft w:val="0"/>
      <w:marRight w:val="0"/>
      <w:marTop w:val="0"/>
      <w:marBottom w:val="0"/>
      <w:divBdr>
        <w:top w:val="none" w:sz="0" w:space="0" w:color="auto"/>
        <w:left w:val="none" w:sz="0" w:space="0" w:color="auto"/>
        <w:bottom w:val="none" w:sz="0" w:space="0" w:color="auto"/>
        <w:right w:val="none" w:sz="0" w:space="0" w:color="auto"/>
      </w:divBdr>
    </w:div>
    <w:div w:id="588081745">
      <w:bodyDiv w:val="1"/>
      <w:marLeft w:val="0"/>
      <w:marRight w:val="0"/>
      <w:marTop w:val="0"/>
      <w:marBottom w:val="0"/>
      <w:divBdr>
        <w:top w:val="none" w:sz="0" w:space="0" w:color="auto"/>
        <w:left w:val="none" w:sz="0" w:space="0" w:color="auto"/>
        <w:bottom w:val="none" w:sz="0" w:space="0" w:color="auto"/>
        <w:right w:val="none" w:sz="0" w:space="0" w:color="auto"/>
      </w:divBdr>
      <w:divsChild>
        <w:div w:id="1358003474">
          <w:marLeft w:val="0"/>
          <w:marRight w:val="0"/>
          <w:marTop w:val="0"/>
          <w:marBottom w:val="0"/>
          <w:divBdr>
            <w:top w:val="none" w:sz="0" w:space="0" w:color="auto"/>
            <w:left w:val="none" w:sz="0" w:space="0" w:color="auto"/>
            <w:bottom w:val="none" w:sz="0" w:space="0" w:color="auto"/>
            <w:right w:val="none" w:sz="0" w:space="0" w:color="auto"/>
          </w:divBdr>
        </w:div>
        <w:div w:id="1510101352">
          <w:marLeft w:val="0"/>
          <w:marRight w:val="0"/>
          <w:marTop w:val="0"/>
          <w:marBottom w:val="0"/>
          <w:divBdr>
            <w:top w:val="none" w:sz="0" w:space="0" w:color="auto"/>
            <w:left w:val="none" w:sz="0" w:space="0" w:color="auto"/>
            <w:bottom w:val="none" w:sz="0" w:space="0" w:color="auto"/>
            <w:right w:val="none" w:sz="0" w:space="0" w:color="auto"/>
          </w:divBdr>
        </w:div>
      </w:divsChild>
    </w:div>
    <w:div w:id="600913571">
      <w:bodyDiv w:val="1"/>
      <w:marLeft w:val="0"/>
      <w:marRight w:val="0"/>
      <w:marTop w:val="0"/>
      <w:marBottom w:val="0"/>
      <w:divBdr>
        <w:top w:val="none" w:sz="0" w:space="0" w:color="auto"/>
        <w:left w:val="none" w:sz="0" w:space="0" w:color="auto"/>
        <w:bottom w:val="none" w:sz="0" w:space="0" w:color="auto"/>
        <w:right w:val="none" w:sz="0" w:space="0" w:color="auto"/>
      </w:divBdr>
    </w:div>
    <w:div w:id="646710648">
      <w:bodyDiv w:val="1"/>
      <w:marLeft w:val="0"/>
      <w:marRight w:val="0"/>
      <w:marTop w:val="0"/>
      <w:marBottom w:val="0"/>
      <w:divBdr>
        <w:top w:val="none" w:sz="0" w:space="0" w:color="auto"/>
        <w:left w:val="none" w:sz="0" w:space="0" w:color="auto"/>
        <w:bottom w:val="none" w:sz="0" w:space="0" w:color="auto"/>
        <w:right w:val="none" w:sz="0" w:space="0" w:color="auto"/>
      </w:divBdr>
    </w:div>
    <w:div w:id="660697131">
      <w:bodyDiv w:val="1"/>
      <w:marLeft w:val="0"/>
      <w:marRight w:val="0"/>
      <w:marTop w:val="0"/>
      <w:marBottom w:val="0"/>
      <w:divBdr>
        <w:top w:val="none" w:sz="0" w:space="0" w:color="auto"/>
        <w:left w:val="none" w:sz="0" w:space="0" w:color="auto"/>
        <w:bottom w:val="none" w:sz="0" w:space="0" w:color="auto"/>
        <w:right w:val="none" w:sz="0" w:space="0" w:color="auto"/>
      </w:divBdr>
    </w:div>
    <w:div w:id="714812057">
      <w:bodyDiv w:val="1"/>
      <w:marLeft w:val="0"/>
      <w:marRight w:val="0"/>
      <w:marTop w:val="0"/>
      <w:marBottom w:val="0"/>
      <w:divBdr>
        <w:top w:val="none" w:sz="0" w:space="0" w:color="auto"/>
        <w:left w:val="none" w:sz="0" w:space="0" w:color="auto"/>
        <w:bottom w:val="none" w:sz="0" w:space="0" w:color="auto"/>
        <w:right w:val="none" w:sz="0" w:space="0" w:color="auto"/>
      </w:divBdr>
    </w:div>
    <w:div w:id="733158464">
      <w:bodyDiv w:val="1"/>
      <w:marLeft w:val="0"/>
      <w:marRight w:val="0"/>
      <w:marTop w:val="0"/>
      <w:marBottom w:val="0"/>
      <w:divBdr>
        <w:top w:val="none" w:sz="0" w:space="0" w:color="auto"/>
        <w:left w:val="none" w:sz="0" w:space="0" w:color="auto"/>
        <w:bottom w:val="none" w:sz="0" w:space="0" w:color="auto"/>
        <w:right w:val="none" w:sz="0" w:space="0" w:color="auto"/>
      </w:divBdr>
    </w:div>
    <w:div w:id="752822910">
      <w:bodyDiv w:val="1"/>
      <w:marLeft w:val="0"/>
      <w:marRight w:val="0"/>
      <w:marTop w:val="0"/>
      <w:marBottom w:val="0"/>
      <w:divBdr>
        <w:top w:val="none" w:sz="0" w:space="0" w:color="auto"/>
        <w:left w:val="none" w:sz="0" w:space="0" w:color="auto"/>
        <w:bottom w:val="none" w:sz="0" w:space="0" w:color="auto"/>
        <w:right w:val="none" w:sz="0" w:space="0" w:color="auto"/>
      </w:divBdr>
      <w:divsChild>
        <w:div w:id="1302660421">
          <w:marLeft w:val="0"/>
          <w:marRight w:val="0"/>
          <w:marTop w:val="0"/>
          <w:marBottom w:val="0"/>
          <w:divBdr>
            <w:top w:val="none" w:sz="0" w:space="0" w:color="auto"/>
            <w:left w:val="none" w:sz="0" w:space="0" w:color="auto"/>
            <w:bottom w:val="none" w:sz="0" w:space="0" w:color="auto"/>
            <w:right w:val="none" w:sz="0" w:space="0" w:color="auto"/>
          </w:divBdr>
          <w:divsChild>
            <w:div w:id="1025715999">
              <w:marLeft w:val="0"/>
              <w:marRight w:val="0"/>
              <w:marTop w:val="0"/>
              <w:marBottom w:val="0"/>
              <w:divBdr>
                <w:top w:val="none" w:sz="0" w:space="0" w:color="auto"/>
                <w:left w:val="none" w:sz="0" w:space="0" w:color="auto"/>
                <w:bottom w:val="none" w:sz="0" w:space="0" w:color="auto"/>
                <w:right w:val="none" w:sz="0" w:space="0" w:color="auto"/>
              </w:divBdr>
              <w:divsChild>
                <w:div w:id="235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144432">
      <w:bodyDiv w:val="1"/>
      <w:marLeft w:val="0"/>
      <w:marRight w:val="0"/>
      <w:marTop w:val="0"/>
      <w:marBottom w:val="0"/>
      <w:divBdr>
        <w:top w:val="none" w:sz="0" w:space="0" w:color="auto"/>
        <w:left w:val="none" w:sz="0" w:space="0" w:color="auto"/>
        <w:bottom w:val="none" w:sz="0" w:space="0" w:color="auto"/>
        <w:right w:val="none" w:sz="0" w:space="0" w:color="auto"/>
      </w:divBdr>
    </w:div>
    <w:div w:id="853299619">
      <w:bodyDiv w:val="1"/>
      <w:marLeft w:val="0"/>
      <w:marRight w:val="0"/>
      <w:marTop w:val="0"/>
      <w:marBottom w:val="0"/>
      <w:divBdr>
        <w:top w:val="none" w:sz="0" w:space="0" w:color="auto"/>
        <w:left w:val="none" w:sz="0" w:space="0" w:color="auto"/>
        <w:bottom w:val="none" w:sz="0" w:space="0" w:color="auto"/>
        <w:right w:val="none" w:sz="0" w:space="0" w:color="auto"/>
      </w:divBdr>
    </w:div>
    <w:div w:id="880020326">
      <w:bodyDiv w:val="1"/>
      <w:marLeft w:val="0"/>
      <w:marRight w:val="0"/>
      <w:marTop w:val="0"/>
      <w:marBottom w:val="0"/>
      <w:divBdr>
        <w:top w:val="none" w:sz="0" w:space="0" w:color="auto"/>
        <w:left w:val="none" w:sz="0" w:space="0" w:color="auto"/>
        <w:bottom w:val="none" w:sz="0" w:space="0" w:color="auto"/>
        <w:right w:val="none" w:sz="0" w:space="0" w:color="auto"/>
      </w:divBdr>
    </w:div>
    <w:div w:id="889730396">
      <w:bodyDiv w:val="1"/>
      <w:marLeft w:val="0"/>
      <w:marRight w:val="0"/>
      <w:marTop w:val="0"/>
      <w:marBottom w:val="0"/>
      <w:divBdr>
        <w:top w:val="none" w:sz="0" w:space="0" w:color="auto"/>
        <w:left w:val="none" w:sz="0" w:space="0" w:color="auto"/>
        <w:bottom w:val="none" w:sz="0" w:space="0" w:color="auto"/>
        <w:right w:val="none" w:sz="0" w:space="0" w:color="auto"/>
      </w:divBdr>
    </w:div>
    <w:div w:id="900216105">
      <w:bodyDiv w:val="1"/>
      <w:marLeft w:val="0"/>
      <w:marRight w:val="0"/>
      <w:marTop w:val="0"/>
      <w:marBottom w:val="0"/>
      <w:divBdr>
        <w:top w:val="none" w:sz="0" w:space="0" w:color="auto"/>
        <w:left w:val="none" w:sz="0" w:space="0" w:color="auto"/>
        <w:bottom w:val="none" w:sz="0" w:space="0" w:color="auto"/>
        <w:right w:val="none" w:sz="0" w:space="0" w:color="auto"/>
      </w:divBdr>
    </w:div>
    <w:div w:id="900671930">
      <w:bodyDiv w:val="1"/>
      <w:marLeft w:val="0"/>
      <w:marRight w:val="0"/>
      <w:marTop w:val="0"/>
      <w:marBottom w:val="0"/>
      <w:divBdr>
        <w:top w:val="none" w:sz="0" w:space="0" w:color="auto"/>
        <w:left w:val="none" w:sz="0" w:space="0" w:color="auto"/>
        <w:bottom w:val="none" w:sz="0" w:space="0" w:color="auto"/>
        <w:right w:val="none" w:sz="0" w:space="0" w:color="auto"/>
      </w:divBdr>
    </w:div>
    <w:div w:id="909313856">
      <w:bodyDiv w:val="1"/>
      <w:marLeft w:val="0"/>
      <w:marRight w:val="0"/>
      <w:marTop w:val="0"/>
      <w:marBottom w:val="0"/>
      <w:divBdr>
        <w:top w:val="none" w:sz="0" w:space="0" w:color="auto"/>
        <w:left w:val="none" w:sz="0" w:space="0" w:color="auto"/>
        <w:bottom w:val="none" w:sz="0" w:space="0" w:color="auto"/>
        <w:right w:val="none" w:sz="0" w:space="0" w:color="auto"/>
      </w:divBdr>
    </w:div>
    <w:div w:id="920798780">
      <w:bodyDiv w:val="1"/>
      <w:marLeft w:val="0"/>
      <w:marRight w:val="0"/>
      <w:marTop w:val="0"/>
      <w:marBottom w:val="0"/>
      <w:divBdr>
        <w:top w:val="none" w:sz="0" w:space="0" w:color="auto"/>
        <w:left w:val="none" w:sz="0" w:space="0" w:color="auto"/>
        <w:bottom w:val="none" w:sz="0" w:space="0" w:color="auto"/>
        <w:right w:val="none" w:sz="0" w:space="0" w:color="auto"/>
      </w:divBdr>
    </w:div>
    <w:div w:id="923298025">
      <w:bodyDiv w:val="1"/>
      <w:marLeft w:val="0"/>
      <w:marRight w:val="0"/>
      <w:marTop w:val="0"/>
      <w:marBottom w:val="0"/>
      <w:divBdr>
        <w:top w:val="none" w:sz="0" w:space="0" w:color="auto"/>
        <w:left w:val="none" w:sz="0" w:space="0" w:color="auto"/>
        <w:bottom w:val="none" w:sz="0" w:space="0" w:color="auto"/>
        <w:right w:val="none" w:sz="0" w:space="0" w:color="auto"/>
      </w:divBdr>
    </w:div>
    <w:div w:id="934748871">
      <w:bodyDiv w:val="1"/>
      <w:marLeft w:val="0"/>
      <w:marRight w:val="0"/>
      <w:marTop w:val="0"/>
      <w:marBottom w:val="0"/>
      <w:divBdr>
        <w:top w:val="none" w:sz="0" w:space="0" w:color="auto"/>
        <w:left w:val="none" w:sz="0" w:space="0" w:color="auto"/>
        <w:bottom w:val="none" w:sz="0" w:space="0" w:color="auto"/>
        <w:right w:val="none" w:sz="0" w:space="0" w:color="auto"/>
      </w:divBdr>
    </w:div>
    <w:div w:id="950087282">
      <w:bodyDiv w:val="1"/>
      <w:marLeft w:val="0"/>
      <w:marRight w:val="0"/>
      <w:marTop w:val="0"/>
      <w:marBottom w:val="0"/>
      <w:divBdr>
        <w:top w:val="none" w:sz="0" w:space="0" w:color="auto"/>
        <w:left w:val="none" w:sz="0" w:space="0" w:color="auto"/>
        <w:bottom w:val="none" w:sz="0" w:space="0" w:color="auto"/>
        <w:right w:val="none" w:sz="0" w:space="0" w:color="auto"/>
      </w:divBdr>
    </w:div>
    <w:div w:id="958998828">
      <w:bodyDiv w:val="1"/>
      <w:marLeft w:val="0"/>
      <w:marRight w:val="0"/>
      <w:marTop w:val="0"/>
      <w:marBottom w:val="0"/>
      <w:divBdr>
        <w:top w:val="none" w:sz="0" w:space="0" w:color="auto"/>
        <w:left w:val="none" w:sz="0" w:space="0" w:color="auto"/>
        <w:bottom w:val="none" w:sz="0" w:space="0" w:color="auto"/>
        <w:right w:val="none" w:sz="0" w:space="0" w:color="auto"/>
      </w:divBdr>
    </w:div>
    <w:div w:id="983774716">
      <w:bodyDiv w:val="1"/>
      <w:marLeft w:val="0"/>
      <w:marRight w:val="0"/>
      <w:marTop w:val="0"/>
      <w:marBottom w:val="0"/>
      <w:divBdr>
        <w:top w:val="none" w:sz="0" w:space="0" w:color="auto"/>
        <w:left w:val="none" w:sz="0" w:space="0" w:color="auto"/>
        <w:bottom w:val="none" w:sz="0" w:space="0" w:color="auto"/>
        <w:right w:val="none" w:sz="0" w:space="0" w:color="auto"/>
      </w:divBdr>
    </w:div>
    <w:div w:id="993098201">
      <w:bodyDiv w:val="1"/>
      <w:marLeft w:val="0"/>
      <w:marRight w:val="0"/>
      <w:marTop w:val="0"/>
      <w:marBottom w:val="0"/>
      <w:divBdr>
        <w:top w:val="none" w:sz="0" w:space="0" w:color="auto"/>
        <w:left w:val="none" w:sz="0" w:space="0" w:color="auto"/>
        <w:bottom w:val="none" w:sz="0" w:space="0" w:color="auto"/>
        <w:right w:val="none" w:sz="0" w:space="0" w:color="auto"/>
      </w:divBdr>
    </w:div>
    <w:div w:id="1042173710">
      <w:bodyDiv w:val="1"/>
      <w:marLeft w:val="0"/>
      <w:marRight w:val="0"/>
      <w:marTop w:val="0"/>
      <w:marBottom w:val="0"/>
      <w:divBdr>
        <w:top w:val="none" w:sz="0" w:space="0" w:color="auto"/>
        <w:left w:val="none" w:sz="0" w:space="0" w:color="auto"/>
        <w:bottom w:val="none" w:sz="0" w:space="0" w:color="auto"/>
        <w:right w:val="none" w:sz="0" w:space="0" w:color="auto"/>
      </w:divBdr>
    </w:div>
    <w:div w:id="1052580057">
      <w:bodyDiv w:val="1"/>
      <w:marLeft w:val="0"/>
      <w:marRight w:val="0"/>
      <w:marTop w:val="0"/>
      <w:marBottom w:val="0"/>
      <w:divBdr>
        <w:top w:val="none" w:sz="0" w:space="0" w:color="auto"/>
        <w:left w:val="none" w:sz="0" w:space="0" w:color="auto"/>
        <w:bottom w:val="none" w:sz="0" w:space="0" w:color="auto"/>
        <w:right w:val="none" w:sz="0" w:space="0" w:color="auto"/>
      </w:divBdr>
    </w:div>
    <w:div w:id="1054087193">
      <w:bodyDiv w:val="1"/>
      <w:marLeft w:val="0"/>
      <w:marRight w:val="0"/>
      <w:marTop w:val="0"/>
      <w:marBottom w:val="0"/>
      <w:divBdr>
        <w:top w:val="none" w:sz="0" w:space="0" w:color="auto"/>
        <w:left w:val="none" w:sz="0" w:space="0" w:color="auto"/>
        <w:bottom w:val="none" w:sz="0" w:space="0" w:color="auto"/>
        <w:right w:val="none" w:sz="0" w:space="0" w:color="auto"/>
      </w:divBdr>
    </w:div>
    <w:div w:id="1054230015">
      <w:bodyDiv w:val="1"/>
      <w:marLeft w:val="0"/>
      <w:marRight w:val="0"/>
      <w:marTop w:val="0"/>
      <w:marBottom w:val="0"/>
      <w:divBdr>
        <w:top w:val="none" w:sz="0" w:space="0" w:color="auto"/>
        <w:left w:val="none" w:sz="0" w:space="0" w:color="auto"/>
        <w:bottom w:val="none" w:sz="0" w:space="0" w:color="auto"/>
        <w:right w:val="none" w:sz="0" w:space="0" w:color="auto"/>
      </w:divBdr>
    </w:div>
    <w:div w:id="1054431580">
      <w:bodyDiv w:val="1"/>
      <w:marLeft w:val="0"/>
      <w:marRight w:val="0"/>
      <w:marTop w:val="0"/>
      <w:marBottom w:val="0"/>
      <w:divBdr>
        <w:top w:val="none" w:sz="0" w:space="0" w:color="auto"/>
        <w:left w:val="none" w:sz="0" w:space="0" w:color="auto"/>
        <w:bottom w:val="none" w:sz="0" w:space="0" w:color="auto"/>
        <w:right w:val="none" w:sz="0" w:space="0" w:color="auto"/>
      </w:divBdr>
    </w:div>
    <w:div w:id="1098066197">
      <w:bodyDiv w:val="1"/>
      <w:marLeft w:val="0"/>
      <w:marRight w:val="0"/>
      <w:marTop w:val="0"/>
      <w:marBottom w:val="0"/>
      <w:divBdr>
        <w:top w:val="none" w:sz="0" w:space="0" w:color="auto"/>
        <w:left w:val="none" w:sz="0" w:space="0" w:color="auto"/>
        <w:bottom w:val="none" w:sz="0" w:space="0" w:color="auto"/>
        <w:right w:val="none" w:sz="0" w:space="0" w:color="auto"/>
      </w:divBdr>
      <w:divsChild>
        <w:div w:id="1707943036">
          <w:marLeft w:val="0"/>
          <w:marRight w:val="0"/>
          <w:marTop w:val="0"/>
          <w:marBottom w:val="0"/>
          <w:divBdr>
            <w:top w:val="none" w:sz="0" w:space="0" w:color="auto"/>
            <w:left w:val="none" w:sz="0" w:space="0" w:color="auto"/>
            <w:bottom w:val="none" w:sz="0" w:space="0" w:color="auto"/>
            <w:right w:val="none" w:sz="0" w:space="0" w:color="auto"/>
          </w:divBdr>
          <w:divsChild>
            <w:div w:id="217596532">
              <w:marLeft w:val="0"/>
              <w:marRight w:val="0"/>
              <w:marTop w:val="0"/>
              <w:marBottom w:val="0"/>
              <w:divBdr>
                <w:top w:val="none" w:sz="0" w:space="0" w:color="auto"/>
                <w:left w:val="none" w:sz="0" w:space="0" w:color="auto"/>
                <w:bottom w:val="none" w:sz="0" w:space="0" w:color="auto"/>
                <w:right w:val="none" w:sz="0" w:space="0" w:color="auto"/>
              </w:divBdr>
              <w:divsChild>
                <w:div w:id="137333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38365">
      <w:bodyDiv w:val="1"/>
      <w:marLeft w:val="0"/>
      <w:marRight w:val="0"/>
      <w:marTop w:val="0"/>
      <w:marBottom w:val="0"/>
      <w:divBdr>
        <w:top w:val="none" w:sz="0" w:space="0" w:color="auto"/>
        <w:left w:val="none" w:sz="0" w:space="0" w:color="auto"/>
        <w:bottom w:val="none" w:sz="0" w:space="0" w:color="auto"/>
        <w:right w:val="none" w:sz="0" w:space="0" w:color="auto"/>
      </w:divBdr>
    </w:div>
    <w:div w:id="1153596172">
      <w:bodyDiv w:val="1"/>
      <w:marLeft w:val="0"/>
      <w:marRight w:val="0"/>
      <w:marTop w:val="0"/>
      <w:marBottom w:val="0"/>
      <w:divBdr>
        <w:top w:val="none" w:sz="0" w:space="0" w:color="auto"/>
        <w:left w:val="none" w:sz="0" w:space="0" w:color="auto"/>
        <w:bottom w:val="none" w:sz="0" w:space="0" w:color="auto"/>
        <w:right w:val="none" w:sz="0" w:space="0" w:color="auto"/>
      </w:divBdr>
    </w:div>
    <w:div w:id="1172799255">
      <w:bodyDiv w:val="1"/>
      <w:marLeft w:val="0"/>
      <w:marRight w:val="0"/>
      <w:marTop w:val="0"/>
      <w:marBottom w:val="0"/>
      <w:divBdr>
        <w:top w:val="none" w:sz="0" w:space="0" w:color="auto"/>
        <w:left w:val="none" w:sz="0" w:space="0" w:color="auto"/>
        <w:bottom w:val="none" w:sz="0" w:space="0" w:color="auto"/>
        <w:right w:val="none" w:sz="0" w:space="0" w:color="auto"/>
      </w:divBdr>
    </w:div>
    <w:div w:id="1247039190">
      <w:bodyDiv w:val="1"/>
      <w:marLeft w:val="0"/>
      <w:marRight w:val="0"/>
      <w:marTop w:val="0"/>
      <w:marBottom w:val="0"/>
      <w:divBdr>
        <w:top w:val="none" w:sz="0" w:space="0" w:color="auto"/>
        <w:left w:val="none" w:sz="0" w:space="0" w:color="auto"/>
        <w:bottom w:val="none" w:sz="0" w:space="0" w:color="auto"/>
        <w:right w:val="none" w:sz="0" w:space="0" w:color="auto"/>
      </w:divBdr>
    </w:div>
    <w:div w:id="1254585597">
      <w:bodyDiv w:val="1"/>
      <w:marLeft w:val="0"/>
      <w:marRight w:val="0"/>
      <w:marTop w:val="0"/>
      <w:marBottom w:val="0"/>
      <w:divBdr>
        <w:top w:val="none" w:sz="0" w:space="0" w:color="auto"/>
        <w:left w:val="none" w:sz="0" w:space="0" w:color="auto"/>
        <w:bottom w:val="none" w:sz="0" w:space="0" w:color="auto"/>
        <w:right w:val="none" w:sz="0" w:space="0" w:color="auto"/>
      </w:divBdr>
    </w:div>
    <w:div w:id="1256356045">
      <w:bodyDiv w:val="1"/>
      <w:marLeft w:val="0"/>
      <w:marRight w:val="0"/>
      <w:marTop w:val="0"/>
      <w:marBottom w:val="0"/>
      <w:divBdr>
        <w:top w:val="none" w:sz="0" w:space="0" w:color="auto"/>
        <w:left w:val="none" w:sz="0" w:space="0" w:color="auto"/>
        <w:bottom w:val="none" w:sz="0" w:space="0" w:color="auto"/>
        <w:right w:val="none" w:sz="0" w:space="0" w:color="auto"/>
      </w:divBdr>
    </w:div>
    <w:div w:id="1267497789">
      <w:bodyDiv w:val="1"/>
      <w:marLeft w:val="0"/>
      <w:marRight w:val="0"/>
      <w:marTop w:val="0"/>
      <w:marBottom w:val="0"/>
      <w:divBdr>
        <w:top w:val="none" w:sz="0" w:space="0" w:color="auto"/>
        <w:left w:val="none" w:sz="0" w:space="0" w:color="auto"/>
        <w:bottom w:val="none" w:sz="0" w:space="0" w:color="auto"/>
        <w:right w:val="none" w:sz="0" w:space="0" w:color="auto"/>
      </w:divBdr>
    </w:div>
    <w:div w:id="1278684077">
      <w:bodyDiv w:val="1"/>
      <w:marLeft w:val="0"/>
      <w:marRight w:val="0"/>
      <w:marTop w:val="0"/>
      <w:marBottom w:val="0"/>
      <w:divBdr>
        <w:top w:val="none" w:sz="0" w:space="0" w:color="auto"/>
        <w:left w:val="none" w:sz="0" w:space="0" w:color="auto"/>
        <w:bottom w:val="none" w:sz="0" w:space="0" w:color="auto"/>
        <w:right w:val="none" w:sz="0" w:space="0" w:color="auto"/>
      </w:divBdr>
    </w:div>
    <w:div w:id="1336499822">
      <w:bodyDiv w:val="1"/>
      <w:marLeft w:val="0"/>
      <w:marRight w:val="0"/>
      <w:marTop w:val="0"/>
      <w:marBottom w:val="0"/>
      <w:divBdr>
        <w:top w:val="none" w:sz="0" w:space="0" w:color="auto"/>
        <w:left w:val="none" w:sz="0" w:space="0" w:color="auto"/>
        <w:bottom w:val="none" w:sz="0" w:space="0" w:color="auto"/>
        <w:right w:val="none" w:sz="0" w:space="0" w:color="auto"/>
      </w:divBdr>
    </w:div>
    <w:div w:id="1351371163">
      <w:bodyDiv w:val="1"/>
      <w:marLeft w:val="0"/>
      <w:marRight w:val="0"/>
      <w:marTop w:val="0"/>
      <w:marBottom w:val="0"/>
      <w:divBdr>
        <w:top w:val="none" w:sz="0" w:space="0" w:color="auto"/>
        <w:left w:val="none" w:sz="0" w:space="0" w:color="auto"/>
        <w:bottom w:val="none" w:sz="0" w:space="0" w:color="auto"/>
        <w:right w:val="none" w:sz="0" w:space="0" w:color="auto"/>
      </w:divBdr>
    </w:div>
    <w:div w:id="1387224268">
      <w:bodyDiv w:val="1"/>
      <w:marLeft w:val="0"/>
      <w:marRight w:val="0"/>
      <w:marTop w:val="0"/>
      <w:marBottom w:val="0"/>
      <w:divBdr>
        <w:top w:val="none" w:sz="0" w:space="0" w:color="auto"/>
        <w:left w:val="none" w:sz="0" w:space="0" w:color="auto"/>
        <w:bottom w:val="none" w:sz="0" w:space="0" w:color="auto"/>
        <w:right w:val="none" w:sz="0" w:space="0" w:color="auto"/>
      </w:divBdr>
    </w:div>
    <w:div w:id="1391221877">
      <w:bodyDiv w:val="1"/>
      <w:marLeft w:val="0"/>
      <w:marRight w:val="0"/>
      <w:marTop w:val="0"/>
      <w:marBottom w:val="0"/>
      <w:divBdr>
        <w:top w:val="none" w:sz="0" w:space="0" w:color="auto"/>
        <w:left w:val="none" w:sz="0" w:space="0" w:color="auto"/>
        <w:bottom w:val="none" w:sz="0" w:space="0" w:color="auto"/>
        <w:right w:val="none" w:sz="0" w:space="0" w:color="auto"/>
      </w:divBdr>
    </w:div>
    <w:div w:id="1409382022">
      <w:bodyDiv w:val="1"/>
      <w:marLeft w:val="0"/>
      <w:marRight w:val="0"/>
      <w:marTop w:val="0"/>
      <w:marBottom w:val="0"/>
      <w:divBdr>
        <w:top w:val="none" w:sz="0" w:space="0" w:color="auto"/>
        <w:left w:val="none" w:sz="0" w:space="0" w:color="auto"/>
        <w:bottom w:val="none" w:sz="0" w:space="0" w:color="auto"/>
        <w:right w:val="none" w:sz="0" w:space="0" w:color="auto"/>
      </w:divBdr>
    </w:div>
    <w:div w:id="1463504187">
      <w:bodyDiv w:val="1"/>
      <w:marLeft w:val="0"/>
      <w:marRight w:val="0"/>
      <w:marTop w:val="0"/>
      <w:marBottom w:val="0"/>
      <w:divBdr>
        <w:top w:val="none" w:sz="0" w:space="0" w:color="auto"/>
        <w:left w:val="none" w:sz="0" w:space="0" w:color="auto"/>
        <w:bottom w:val="none" w:sz="0" w:space="0" w:color="auto"/>
        <w:right w:val="none" w:sz="0" w:space="0" w:color="auto"/>
      </w:divBdr>
      <w:divsChild>
        <w:div w:id="1731423416">
          <w:marLeft w:val="0"/>
          <w:marRight w:val="0"/>
          <w:marTop w:val="0"/>
          <w:marBottom w:val="0"/>
          <w:divBdr>
            <w:top w:val="none" w:sz="0" w:space="0" w:color="auto"/>
            <w:left w:val="none" w:sz="0" w:space="0" w:color="auto"/>
            <w:bottom w:val="none" w:sz="0" w:space="0" w:color="auto"/>
            <w:right w:val="none" w:sz="0" w:space="0" w:color="auto"/>
          </w:divBdr>
        </w:div>
        <w:div w:id="46270170">
          <w:marLeft w:val="0"/>
          <w:marRight w:val="0"/>
          <w:marTop w:val="0"/>
          <w:marBottom w:val="0"/>
          <w:divBdr>
            <w:top w:val="none" w:sz="0" w:space="0" w:color="auto"/>
            <w:left w:val="none" w:sz="0" w:space="0" w:color="auto"/>
            <w:bottom w:val="none" w:sz="0" w:space="0" w:color="auto"/>
            <w:right w:val="none" w:sz="0" w:space="0" w:color="auto"/>
          </w:divBdr>
        </w:div>
      </w:divsChild>
    </w:div>
    <w:div w:id="1477139413">
      <w:bodyDiv w:val="1"/>
      <w:marLeft w:val="0"/>
      <w:marRight w:val="0"/>
      <w:marTop w:val="0"/>
      <w:marBottom w:val="0"/>
      <w:divBdr>
        <w:top w:val="none" w:sz="0" w:space="0" w:color="auto"/>
        <w:left w:val="none" w:sz="0" w:space="0" w:color="auto"/>
        <w:bottom w:val="none" w:sz="0" w:space="0" w:color="auto"/>
        <w:right w:val="none" w:sz="0" w:space="0" w:color="auto"/>
      </w:divBdr>
    </w:div>
    <w:div w:id="1514539408">
      <w:bodyDiv w:val="1"/>
      <w:marLeft w:val="0"/>
      <w:marRight w:val="0"/>
      <w:marTop w:val="0"/>
      <w:marBottom w:val="0"/>
      <w:divBdr>
        <w:top w:val="none" w:sz="0" w:space="0" w:color="auto"/>
        <w:left w:val="none" w:sz="0" w:space="0" w:color="auto"/>
        <w:bottom w:val="none" w:sz="0" w:space="0" w:color="auto"/>
        <w:right w:val="none" w:sz="0" w:space="0" w:color="auto"/>
      </w:divBdr>
    </w:div>
    <w:div w:id="1523131829">
      <w:bodyDiv w:val="1"/>
      <w:marLeft w:val="0"/>
      <w:marRight w:val="0"/>
      <w:marTop w:val="0"/>
      <w:marBottom w:val="0"/>
      <w:divBdr>
        <w:top w:val="none" w:sz="0" w:space="0" w:color="auto"/>
        <w:left w:val="none" w:sz="0" w:space="0" w:color="auto"/>
        <w:bottom w:val="none" w:sz="0" w:space="0" w:color="auto"/>
        <w:right w:val="none" w:sz="0" w:space="0" w:color="auto"/>
      </w:divBdr>
    </w:div>
    <w:div w:id="1542593030">
      <w:bodyDiv w:val="1"/>
      <w:marLeft w:val="0"/>
      <w:marRight w:val="0"/>
      <w:marTop w:val="0"/>
      <w:marBottom w:val="0"/>
      <w:divBdr>
        <w:top w:val="none" w:sz="0" w:space="0" w:color="auto"/>
        <w:left w:val="none" w:sz="0" w:space="0" w:color="auto"/>
        <w:bottom w:val="none" w:sz="0" w:space="0" w:color="auto"/>
        <w:right w:val="none" w:sz="0" w:space="0" w:color="auto"/>
      </w:divBdr>
    </w:div>
    <w:div w:id="1552887216">
      <w:bodyDiv w:val="1"/>
      <w:marLeft w:val="0"/>
      <w:marRight w:val="0"/>
      <w:marTop w:val="0"/>
      <w:marBottom w:val="0"/>
      <w:divBdr>
        <w:top w:val="none" w:sz="0" w:space="0" w:color="auto"/>
        <w:left w:val="none" w:sz="0" w:space="0" w:color="auto"/>
        <w:bottom w:val="none" w:sz="0" w:space="0" w:color="auto"/>
        <w:right w:val="none" w:sz="0" w:space="0" w:color="auto"/>
      </w:divBdr>
    </w:div>
    <w:div w:id="1585840492">
      <w:bodyDiv w:val="1"/>
      <w:marLeft w:val="0"/>
      <w:marRight w:val="0"/>
      <w:marTop w:val="0"/>
      <w:marBottom w:val="0"/>
      <w:divBdr>
        <w:top w:val="none" w:sz="0" w:space="0" w:color="auto"/>
        <w:left w:val="none" w:sz="0" w:space="0" w:color="auto"/>
        <w:bottom w:val="none" w:sz="0" w:space="0" w:color="auto"/>
        <w:right w:val="none" w:sz="0" w:space="0" w:color="auto"/>
      </w:divBdr>
      <w:divsChild>
        <w:div w:id="136535135">
          <w:marLeft w:val="0"/>
          <w:marRight w:val="0"/>
          <w:marTop w:val="0"/>
          <w:marBottom w:val="0"/>
          <w:divBdr>
            <w:top w:val="none" w:sz="0" w:space="0" w:color="auto"/>
            <w:left w:val="none" w:sz="0" w:space="0" w:color="auto"/>
            <w:bottom w:val="none" w:sz="0" w:space="0" w:color="auto"/>
            <w:right w:val="none" w:sz="0" w:space="0" w:color="auto"/>
          </w:divBdr>
        </w:div>
        <w:div w:id="1016999475">
          <w:marLeft w:val="0"/>
          <w:marRight w:val="0"/>
          <w:marTop w:val="0"/>
          <w:marBottom w:val="0"/>
          <w:divBdr>
            <w:top w:val="none" w:sz="0" w:space="0" w:color="auto"/>
            <w:left w:val="none" w:sz="0" w:space="0" w:color="auto"/>
            <w:bottom w:val="none" w:sz="0" w:space="0" w:color="auto"/>
            <w:right w:val="none" w:sz="0" w:space="0" w:color="auto"/>
          </w:divBdr>
        </w:div>
      </w:divsChild>
    </w:div>
    <w:div w:id="1634870091">
      <w:bodyDiv w:val="1"/>
      <w:marLeft w:val="0"/>
      <w:marRight w:val="0"/>
      <w:marTop w:val="0"/>
      <w:marBottom w:val="0"/>
      <w:divBdr>
        <w:top w:val="none" w:sz="0" w:space="0" w:color="auto"/>
        <w:left w:val="none" w:sz="0" w:space="0" w:color="auto"/>
        <w:bottom w:val="none" w:sz="0" w:space="0" w:color="auto"/>
        <w:right w:val="none" w:sz="0" w:space="0" w:color="auto"/>
      </w:divBdr>
    </w:div>
    <w:div w:id="1649285733">
      <w:bodyDiv w:val="1"/>
      <w:marLeft w:val="0"/>
      <w:marRight w:val="0"/>
      <w:marTop w:val="0"/>
      <w:marBottom w:val="0"/>
      <w:divBdr>
        <w:top w:val="none" w:sz="0" w:space="0" w:color="auto"/>
        <w:left w:val="none" w:sz="0" w:space="0" w:color="auto"/>
        <w:bottom w:val="none" w:sz="0" w:space="0" w:color="auto"/>
        <w:right w:val="none" w:sz="0" w:space="0" w:color="auto"/>
      </w:divBdr>
    </w:div>
    <w:div w:id="1657105973">
      <w:bodyDiv w:val="1"/>
      <w:marLeft w:val="0"/>
      <w:marRight w:val="0"/>
      <w:marTop w:val="0"/>
      <w:marBottom w:val="0"/>
      <w:divBdr>
        <w:top w:val="none" w:sz="0" w:space="0" w:color="auto"/>
        <w:left w:val="none" w:sz="0" w:space="0" w:color="auto"/>
        <w:bottom w:val="none" w:sz="0" w:space="0" w:color="auto"/>
        <w:right w:val="none" w:sz="0" w:space="0" w:color="auto"/>
      </w:divBdr>
    </w:div>
    <w:div w:id="1668047743">
      <w:bodyDiv w:val="1"/>
      <w:marLeft w:val="0"/>
      <w:marRight w:val="0"/>
      <w:marTop w:val="0"/>
      <w:marBottom w:val="0"/>
      <w:divBdr>
        <w:top w:val="none" w:sz="0" w:space="0" w:color="auto"/>
        <w:left w:val="none" w:sz="0" w:space="0" w:color="auto"/>
        <w:bottom w:val="none" w:sz="0" w:space="0" w:color="auto"/>
        <w:right w:val="none" w:sz="0" w:space="0" w:color="auto"/>
      </w:divBdr>
      <w:divsChild>
        <w:div w:id="405108014">
          <w:marLeft w:val="0"/>
          <w:marRight w:val="0"/>
          <w:marTop w:val="0"/>
          <w:marBottom w:val="0"/>
          <w:divBdr>
            <w:top w:val="none" w:sz="0" w:space="0" w:color="auto"/>
            <w:left w:val="none" w:sz="0" w:space="0" w:color="auto"/>
            <w:bottom w:val="none" w:sz="0" w:space="0" w:color="auto"/>
            <w:right w:val="none" w:sz="0" w:space="0" w:color="auto"/>
          </w:divBdr>
        </w:div>
        <w:div w:id="2138454096">
          <w:marLeft w:val="0"/>
          <w:marRight w:val="0"/>
          <w:marTop w:val="0"/>
          <w:marBottom w:val="0"/>
          <w:divBdr>
            <w:top w:val="none" w:sz="0" w:space="0" w:color="auto"/>
            <w:left w:val="none" w:sz="0" w:space="0" w:color="auto"/>
            <w:bottom w:val="none" w:sz="0" w:space="0" w:color="auto"/>
            <w:right w:val="none" w:sz="0" w:space="0" w:color="auto"/>
          </w:divBdr>
        </w:div>
        <w:div w:id="1866408136">
          <w:marLeft w:val="0"/>
          <w:marRight w:val="0"/>
          <w:marTop w:val="0"/>
          <w:marBottom w:val="0"/>
          <w:divBdr>
            <w:top w:val="none" w:sz="0" w:space="0" w:color="auto"/>
            <w:left w:val="none" w:sz="0" w:space="0" w:color="auto"/>
            <w:bottom w:val="none" w:sz="0" w:space="0" w:color="auto"/>
            <w:right w:val="none" w:sz="0" w:space="0" w:color="auto"/>
          </w:divBdr>
        </w:div>
        <w:div w:id="752555386">
          <w:marLeft w:val="0"/>
          <w:marRight w:val="0"/>
          <w:marTop w:val="0"/>
          <w:marBottom w:val="0"/>
          <w:divBdr>
            <w:top w:val="none" w:sz="0" w:space="0" w:color="auto"/>
            <w:left w:val="none" w:sz="0" w:space="0" w:color="auto"/>
            <w:bottom w:val="none" w:sz="0" w:space="0" w:color="auto"/>
            <w:right w:val="none" w:sz="0" w:space="0" w:color="auto"/>
          </w:divBdr>
        </w:div>
        <w:div w:id="698165567">
          <w:marLeft w:val="0"/>
          <w:marRight w:val="0"/>
          <w:marTop w:val="0"/>
          <w:marBottom w:val="0"/>
          <w:divBdr>
            <w:top w:val="none" w:sz="0" w:space="0" w:color="auto"/>
            <w:left w:val="none" w:sz="0" w:space="0" w:color="auto"/>
            <w:bottom w:val="none" w:sz="0" w:space="0" w:color="auto"/>
            <w:right w:val="none" w:sz="0" w:space="0" w:color="auto"/>
          </w:divBdr>
          <w:divsChild>
            <w:div w:id="18925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6232">
      <w:bodyDiv w:val="1"/>
      <w:marLeft w:val="0"/>
      <w:marRight w:val="0"/>
      <w:marTop w:val="0"/>
      <w:marBottom w:val="0"/>
      <w:divBdr>
        <w:top w:val="none" w:sz="0" w:space="0" w:color="auto"/>
        <w:left w:val="none" w:sz="0" w:space="0" w:color="auto"/>
        <w:bottom w:val="none" w:sz="0" w:space="0" w:color="auto"/>
        <w:right w:val="none" w:sz="0" w:space="0" w:color="auto"/>
      </w:divBdr>
    </w:div>
    <w:div w:id="1686517303">
      <w:bodyDiv w:val="1"/>
      <w:marLeft w:val="0"/>
      <w:marRight w:val="0"/>
      <w:marTop w:val="0"/>
      <w:marBottom w:val="0"/>
      <w:divBdr>
        <w:top w:val="none" w:sz="0" w:space="0" w:color="auto"/>
        <w:left w:val="none" w:sz="0" w:space="0" w:color="auto"/>
        <w:bottom w:val="none" w:sz="0" w:space="0" w:color="auto"/>
        <w:right w:val="none" w:sz="0" w:space="0" w:color="auto"/>
      </w:divBdr>
    </w:div>
    <w:div w:id="1697609739">
      <w:bodyDiv w:val="1"/>
      <w:marLeft w:val="0"/>
      <w:marRight w:val="0"/>
      <w:marTop w:val="0"/>
      <w:marBottom w:val="0"/>
      <w:divBdr>
        <w:top w:val="none" w:sz="0" w:space="0" w:color="auto"/>
        <w:left w:val="none" w:sz="0" w:space="0" w:color="auto"/>
        <w:bottom w:val="none" w:sz="0" w:space="0" w:color="auto"/>
        <w:right w:val="none" w:sz="0" w:space="0" w:color="auto"/>
      </w:divBdr>
    </w:div>
    <w:div w:id="1707096173">
      <w:bodyDiv w:val="1"/>
      <w:marLeft w:val="0"/>
      <w:marRight w:val="0"/>
      <w:marTop w:val="0"/>
      <w:marBottom w:val="0"/>
      <w:divBdr>
        <w:top w:val="none" w:sz="0" w:space="0" w:color="auto"/>
        <w:left w:val="none" w:sz="0" w:space="0" w:color="auto"/>
        <w:bottom w:val="none" w:sz="0" w:space="0" w:color="auto"/>
        <w:right w:val="none" w:sz="0" w:space="0" w:color="auto"/>
      </w:divBdr>
    </w:div>
    <w:div w:id="1711228619">
      <w:bodyDiv w:val="1"/>
      <w:marLeft w:val="0"/>
      <w:marRight w:val="0"/>
      <w:marTop w:val="0"/>
      <w:marBottom w:val="0"/>
      <w:divBdr>
        <w:top w:val="none" w:sz="0" w:space="0" w:color="auto"/>
        <w:left w:val="none" w:sz="0" w:space="0" w:color="auto"/>
        <w:bottom w:val="none" w:sz="0" w:space="0" w:color="auto"/>
        <w:right w:val="none" w:sz="0" w:space="0" w:color="auto"/>
      </w:divBdr>
    </w:div>
    <w:div w:id="1715688893">
      <w:bodyDiv w:val="1"/>
      <w:marLeft w:val="0"/>
      <w:marRight w:val="0"/>
      <w:marTop w:val="0"/>
      <w:marBottom w:val="0"/>
      <w:divBdr>
        <w:top w:val="none" w:sz="0" w:space="0" w:color="auto"/>
        <w:left w:val="none" w:sz="0" w:space="0" w:color="auto"/>
        <w:bottom w:val="none" w:sz="0" w:space="0" w:color="auto"/>
        <w:right w:val="none" w:sz="0" w:space="0" w:color="auto"/>
      </w:divBdr>
    </w:div>
    <w:div w:id="1746762820">
      <w:bodyDiv w:val="1"/>
      <w:marLeft w:val="0"/>
      <w:marRight w:val="0"/>
      <w:marTop w:val="0"/>
      <w:marBottom w:val="0"/>
      <w:divBdr>
        <w:top w:val="none" w:sz="0" w:space="0" w:color="auto"/>
        <w:left w:val="none" w:sz="0" w:space="0" w:color="auto"/>
        <w:bottom w:val="none" w:sz="0" w:space="0" w:color="auto"/>
        <w:right w:val="none" w:sz="0" w:space="0" w:color="auto"/>
      </w:divBdr>
    </w:div>
    <w:div w:id="1756052665">
      <w:bodyDiv w:val="1"/>
      <w:marLeft w:val="0"/>
      <w:marRight w:val="0"/>
      <w:marTop w:val="0"/>
      <w:marBottom w:val="0"/>
      <w:divBdr>
        <w:top w:val="none" w:sz="0" w:space="0" w:color="auto"/>
        <w:left w:val="none" w:sz="0" w:space="0" w:color="auto"/>
        <w:bottom w:val="none" w:sz="0" w:space="0" w:color="auto"/>
        <w:right w:val="none" w:sz="0" w:space="0" w:color="auto"/>
      </w:divBdr>
    </w:div>
    <w:div w:id="1758285799">
      <w:bodyDiv w:val="1"/>
      <w:marLeft w:val="0"/>
      <w:marRight w:val="0"/>
      <w:marTop w:val="0"/>
      <w:marBottom w:val="0"/>
      <w:divBdr>
        <w:top w:val="none" w:sz="0" w:space="0" w:color="auto"/>
        <w:left w:val="none" w:sz="0" w:space="0" w:color="auto"/>
        <w:bottom w:val="none" w:sz="0" w:space="0" w:color="auto"/>
        <w:right w:val="none" w:sz="0" w:space="0" w:color="auto"/>
      </w:divBdr>
    </w:div>
    <w:div w:id="1761102569">
      <w:bodyDiv w:val="1"/>
      <w:marLeft w:val="0"/>
      <w:marRight w:val="0"/>
      <w:marTop w:val="0"/>
      <w:marBottom w:val="0"/>
      <w:divBdr>
        <w:top w:val="none" w:sz="0" w:space="0" w:color="auto"/>
        <w:left w:val="none" w:sz="0" w:space="0" w:color="auto"/>
        <w:bottom w:val="none" w:sz="0" w:space="0" w:color="auto"/>
        <w:right w:val="none" w:sz="0" w:space="0" w:color="auto"/>
      </w:divBdr>
    </w:div>
    <w:div w:id="1779986642">
      <w:bodyDiv w:val="1"/>
      <w:marLeft w:val="0"/>
      <w:marRight w:val="0"/>
      <w:marTop w:val="0"/>
      <w:marBottom w:val="0"/>
      <w:divBdr>
        <w:top w:val="none" w:sz="0" w:space="0" w:color="auto"/>
        <w:left w:val="none" w:sz="0" w:space="0" w:color="auto"/>
        <w:bottom w:val="none" w:sz="0" w:space="0" w:color="auto"/>
        <w:right w:val="none" w:sz="0" w:space="0" w:color="auto"/>
      </w:divBdr>
    </w:div>
    <w:div w:id="1796560381">
      <w:bodyDiv w:val="1"/>
      <w:marLeft w:val="0"/>
      <w:marRight w:val="0"/>
      <w:marTop w:val="0"/>
      <w:marBottom w:val="0"/>
      <w:divBdr>
        <w:top w:val="none" w:sz="0" w:space="0" w:color="auto"/>
        <w:left w:val="none" w:sz="0" w:space="0" w:color="auto"/>
        <w:bottom w:val="none" w:sz="0" w:space="0" w:color="auto"/>
        <w:right w:val="none" w:sz="0" w:space="0" w:color="auto"/>
      </w:divBdr>
    </w:div>
    <w:div w:id="1803573551">
      <w:bodyDiv w:val="1"/>
      <w:marLeft w:val="0"/>
      <w:marRight w:val="0"/>
      <w:marTop w:val="0"/>
      <w:marBottom w:val="0"/>
      <w:divBdr>
        <w:top w:val="none" w:sz="0" w:space="0" w:color="auto"/>
        <w:left w:val="none" w:sz="0" w:space="0" w:color="auto"/>
        <w:bottom w:val="none" w:sz="0" w:space="0" w:color="auto"/>
        <w:right w:val="none" w:sz="0" w:space="0" w:color="auto"/>
      </w:divBdr>
      <w:divsChild>
        <w:div w:id="2126388279">
          <w:marLeft w:val="0"/>
          <w:marRight w:val="0"/>
          <w:marTop w:val="0"/>
          <w:marBottom w:val="0"/>
          <w:divBdr>
            <w:top w:val="none" w:sz="0" w:space="0" w:color="auto"/>
            <w:left w:val="none" w:sz="0" w:space="0" w:color="auto"/>
            <w:bottom w:val="none" w:sz="0" w:space="0" w:color="auto"/>
            <w:right w:val="none" w:sz="0" w:space="0" w:color="auto"/>
          </w:divBdr>
        </w:div>
        <w:div w:id="2119063769">
          <w:marLeft w:val="0"/>
          <w:marRight w:val="0"/>
          <w:marTop w:val="0"/>
          <w:marBottom w:val="0"/>
          <w:divBdr>
            <w:top w:val="none" w:sz="0" w:space="0" w:color="auto"/>
            <w:left w:val="none" w:sz="0" w:space="0" w:color="auto"/>
            <w:bottom w:val="none" w:sz="0" w:space="0" w:color="auto"/>
            <w:right w:val="none" w:sz="0" w:space="0" w:color="auto"/>
          </w:divBdr>
        </w:div>
        <w:div w:id="762145942">
          <w:marLeft w:val="0"/>
          <w:marRight w:val="0"/>
          <w:marTop w:val="0"/>
          <w:marBottom w:val="0"/>
          <w:divBdr>
            <w:top w:val="none" w:sz="0" w:space="0" w:color="auto"/>
            <w:left w:val="none" w:sz="0" w:space="0" w:color="auto"/>
            <w:bottom w:val="none" w:sz="0" w:space="0" w:color="auto"/>
            <w:right w:val="none" w:sz="0" w:space="0" w:color="auto"/>
          </w:divBdr>
        </w:div>
      </w:divsChild>
    </w:div>
    <w:div w:id="1850019841">
      <w:bodyDiv w:val="1"/>
      <w:marLeft w:val="0"/>
      <w:marRight w:val="0"/>
      <w:marTop w:val="0"/>
      <w:marBottom w:val="0"/>
      <w:divBdr>
        <w:top w:val="none" w:sz="0" w:space="0" w:color="auto"/>
        <w:left w:val="none" w:sz="0" w:space="0" w:color="auto"/>
        <w:bottom w:val="none" w:sz="0" w:space="0" w:color="auto"/>
        <w:right w:val="none" w:sz="0" w:space="0" w:color="auto"/>
      </w:divBdr>
    </w:div>
    <w:div w:id="1885674050">
      <w:bodyDiv w:val="1"/>
      <w:marLeft w:val="0"/>
      <w:marRight w:val="0"/>
      <w:marTop w:val="0"/>
      <w:marBottom w:val="0"/>
      <w:divBdr>
        <w:top w:val="none" w:sz="0" w:space="0" w:color="auto"/>
        <w:left w:val="none" w:sz="0" w:space="0" w:color="auto"/>
        <w:bottom w:val="none" w:sz="0" w:space="0" w:color="auto"/>
        <w:right w:val="none" w:sz="0" w:space="0" w:color="auto"/>
      </w:divBdr>
    </w:div>
    <w:div w:id="1889753755">
      <w:bodyDiv w:val="1"/>
      <w:marLeft w:val="0"/>
      <w:marRight w:val="0"/>
      <w:marTop w:val="0"/>
      <w:marBottom w:val="0"/>
      <w:divBdr>
        <w:top w:val="none" w:sz="0" w:space="0" w:color="auto"/>
        <w:left w:val="none" w:sz="0" w:space="0" w:color="auto"/>
        <w:bottom w:val="none" w:sz="0" w:space="0" w:color="auto"/>
        <w:right w:val="none" w:sz="0" w:space="0" w:color="auto"/>
      </w:divBdr>
    </w:div>
    <w:div w:id="1891072982">
      <w:bodyDiv w:val="1"/>
      <w:marLeft w:val="0"/>
      <w:marRight w:val="0"/>
      <w:marTop w:val="0"/>
      <w:marBottom w:val="0"/>
      <w:divBdr>
        <w:top w:val="none" w:sz="0" w:space="0" w:color="auto"/>
        <w:left w:val="none" w:sz="0" w:space="0" w:color="auto"/>
        <w:bottom w:val="none" w:sz="0" w:space="0" w:color="auto"/>
        <w:right w:val="none" w:sz="0" w:space="0" w:color="auto"/>
      </w:divBdr>
    </w:div>
    <w:div w:id="1901357396">
      <w:bodyDiv w:val="1"/>
      <w:marLeft w:val="0"/>
      <w:marRight w:val="0"/>
      <w:marTop w:val="0"/>
      <w:marBottom w:val="0"/>
      <w:divBdr>
        <w:top w:val="none" w:sz="0" w:space="0" w:color="auto"/>
        <w:left w:val="none" w:sz="0" w:space="0" w:color="auto"/>
        <w:bottom w:val="none" w:sz="0" w:space="0" w:color="auto"/>
        <w:right w:val="none" w:sz="0" w:space="0" w:color="auto"/>
      </w:divBdr>
    </w:div>
    <w:div w:id="1912807195">
      <w:bodyDiv w:val="1"/>
      <w:marLeft w:val="0"/>
      <w:marRight w:val="0"/>
      <w:marTop w:val="0"/>
      <w:marBottom w:val="0"/>
      <w:divBdr>
        <w:top w:val="none" w:sz="0" w:space="0" w:color="auto"/>
        <w:left w:val="none" w:sz="0" w:space="0" w:color="auto"/>
        <w:bottom w:val="none" w:sz="0" w:space="0" w:color="auto"/>
        <w:right w:val="none" w:sz="0" w:space="0" w:color="auto"/>
      </w:divBdr>
    </w:div>
    <w:div w:id="1916469403">
      <w:bodyDiv w:val="1"/>
      <w:marLeft w:val="0"/>
      <w:marRight w:val="0"/>
      <w:marTop w:val="0"/>
      <w:marBottom w:val="0"/>
      <w:divBdr>
        <w:top w:val="none" w:sz="0" w:space="0" w:color="auto"/>
        <w:left w:val="none" w:sz="0" w:space="0" w:color="auto"/>
        <w:bottom w:val="none" w:sz="0" w:space="0" w:color="auto"/>
        <w:right w:val="none" w:sz="0" w:space="0" w:color="auto"/>
      </w:divBdr>
    </w:div>
    <w:div w:id="1939484798">
      <w:bodyDiv w:val="1"/>
      <w:marLeft w:val="0"/>
      <w:marRight w:val="0"/>
      <w:marTop w:val="0"/>
      <w:marBottom w:val="0"/>
      <w:divBdr>
        <w:top w:val="none" w:sz="0" w:space="0" w:color="auto"/>
        <w:left w:val="none" w:sz="0" w:space="0" w:color="auto"/>
        <w:bottom w:val="none" w:sz="0" w:space="0" w:color="auto"/>
        <w:right w:val="none" w:sz="0" w:space="0" w:color="auto"/>
      </w:divBdr>
    </w:div>
    <w:div w:id="1951348998">
      <w:bodyDiv w:val="1"/>
      <w:marLeft w:val="0"/>
      <w:marRight w:val="0"/>
      <w:marTop w:val="0"/>
      <w:marBottom w:val="0"/>
      <w:divBdr>
        <w:top w:val="none" w:sz="0" w:space="0" w:color="auto"/>
        <w:left w:val="none" w:sz="0" w:space="0" w:color="auto"/>
        <w:bottom w:val="none" w:sz="0" w:space="0" w:color="auto"/>
        <w:right w:val="none" w:sz="0" w:space="0" w:color="auto"/>
      </w:divBdr>
    </w:div>
    <w:div w:id="1968506559">
      <w:bodyDiv w:val="1"/>
      <w:marLeft w:val="0"/>
      <w:marRight w:val="0"/>
      <w:marTop w:val="0"/>
      <w:marBottom w:val="0"/>
      <w:divBdr>
        <w:top w:val="none" w:sz="0" w:space="0" w:color="auto"/>
        <w:left w:val="none" w:sz="0" w:space="0" w:color="auto"/>
        <w:bottom w:val="none" w:sz="0" w:space="0" w:color="auto"/>
        <w:right w:val="none" w:sz="0" w:space="0" w:color="auto"/>
      </w:divBdr>
      <w:divsChild>
        <w:div w:id="488599839">
          <w:marLeft w:val="0"/>
          <w:marRight w:val="0"/>
          <w:marTop w:val="0"/>
          <w:marBottom w:val="0"/>
          <w:divBdr>
            <w:top w:val="none" w:sz="0" w:space="0" w:color="auto"/>
            <w:left w:val="none" w:sz="0" w:space="0" w:color="auto"/>
            <w:bottom w:val="none" w:sz="0" w:space="0" w:color="auto"/>
            <w:right w:val="none" w:sz="0" w:space="0" w:color="auto"/>
          </w:divBdr>
        </w:div>
        <w:div w:id="1757900601">
          <w:marLeft w:val="0"/>
          <w:marRight w:val="0"/>
          <w:marTop w:val="0"/>
          <w:marBottom w:val="0"/>
          <w:divBdr>
            <w:top w:val="none" w:sz="0" w:space="0" w:color="auto"/>
            <w:left w:val="none" w:sz="0" w:space="0" w:color="auto"/>
            <w:bottom w:val="none" w:sz="0" w:space="0" w:color="auto"/>
            <w:right w:val="none" w:sz="0" w:space="0" w:color="auto"/>
          </w:divBdr>
        </w:div>
      </w:divsChild>
    </w:div>
    <w:div w:id="1991785649">
      <w:bodyDiv w:val="1"/>
      <w:marLeft w:val="0"/>
      <w:marRight w:val="0"/>
      <w:marTop w:val="0"/>
      <w:marBottom w:val="0"/>
      <w:divBdr>
        <w:top w:val="none" w:sz="0" w:space="0" w:color="auto"/>
        <w:left w:val="none" w:sz="0" w:space="0" w:color="auto"/>
        <w:bottom w:val="none" w:sz="0" w:space="0" w:color="auto"/>
        <w:right w:val="none" w:sz="0" w:space="0" w:color="auto"/>
      </w:divBdr>
      <w:divsChild>
        <w:div w:id="1407219905">
          <w:marLeft w:val="0"/>
          <w:marRight w:val="0"/>
          <w:marTop w:val="0"/>
          <w:marBottom w:val="0"/>
          <w:divBdr>
            <w:top w:val="none" w:sz="0" w:space="0" w:color="auto"/>
            <w:left w:val="none" w:sz="0" w:space="0" w:color="auto"/>
            <w:bottom w:val="none" w:sz="0" w:space="0" w:color="auto"/>
            <w:right w:val="none" w:sz="0" w:space="0" w:color="auto"/>
          </w:divBdr>
        </w:div>
        <w:div w:id="1026709087">
          <w:marLeft w:val="0"/>
          <w:marRight w:val="0"/>
          <w:marTop w:val="0"/>
          <w:marBottom w:val="0"/>
          <w:divBdr>
            <w:top w:val="none" w:sz="0" w:space="0" w:color="auto"/>
            <w:left w:val="none" w:sz="0" w:space="0" w:color="auto"/>
            <w:bottom w:val="none" w:sz="0" w:space="0" w:color="auto"/>
            <w:right w:val="none" w:sz="0" w:space="0" w:color="auto"/>
          </w:divBdr>
        </w:div>
        <w:div w:id="525407775">
          <w:marLeft w:val="0"/>
          <w:marRight w:val="0"/>
          <w:marTop w:val="0"/>
          <w:marBottom w:val="0"/>
          <w:divBdr>
            <w:top w:val="none" w:sz="0" w:space="0" w:color="auto"/>
            <w:left w:val="none" w:sz="0" w:space="0" w:color="auto"/>
            <w:bottom w:val="none" w:sz="0" w:space="0" w:color="auto"/>
            <w:right w:val="none" w:sz="0" w:space="0" w:color="auto"/>
          </w:divBdr>
        </w:div>
        <w:div w:id="1044599034">
          <w:marLeft w:val="0"/>
          <w:marRight w:val="0"/>
          <w:marTop w:val="0"/>
          <w:marBottom w:val="0"/>
          <w:divBdr>
            <w:top w:val="none" w:sz="0" w:space="0" w:color="auto"/>
            <w:left w:val="none" w:sz="0" w:space="0" w:color="auto"/>
            <w:bottom w:val="none" w:sz="0" w:space="0" w:color="auto"/>
            <w:right w:val="none" w:sz="0" w:space="0" w:color="auto"/>
          </w:divBdr>
        </w:div>
        <w:div w:id="1239439042">
          <w:marLeft w:val="0"/>
          <w:marRight w:val="0"/>
          <w:marTop w:val="0"/>
          <w:marBottom w:val="0"/>
          <w:divBdr>
            <w:top w:val="none" w:sz="0" w:space="0" w:color="auto"/>
            <w:left w:val="none" w:sz="0" w:space="0" w:color="auto"/>
            <w:bottom w:val="none" w:sz="0" w:space="0" w:color="auto"/>
            <w:right w:val="none" w:sz="0" w:space="0" w:color="auto"/>
          </w:divBdr>
          <w:divsChild>
            <w:div w:id="7193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5646">
      <w:bodyDiv w:val="1"/>
      <w:marLeft w:val="0"/>
      <w:marRight w:val="0"/>
      <w:marTop w:val="0"/>
      <w:marBottom w:val="0"/>
      <w:divBdr>
        <w:top w:val="none" w:sz="0" w:space="0" w:color="auto"/>
        <w:left w:val="none" w:sz="0" w:space="0" w:color="auto"/>
        <w:bottom w:val="none" w:sz="0" w:space="0" w:color="auto"/>
        <w:right w:val="none" w:sz="0" w:space="0" w:color="auto"/>
      </w:divBdr>
      <w:divsChild>
        <w:div w:id="1232042352">
          <w:marLeft w:val="0"/>
          <w:marRight w:val="0"/>
          <w:marTop w:val="0"/>
          <w:marBottom w:val="0"/>
          <w:divBdr>
            <w:top w:val="none" w:sz="0" w:space="0" w:color="auto"/>
            <w:left w:val="none" w:sz="0" w:space="0" w:color="auto"/>
            <w:bottom w:val="none" w:sz="0" w:space="0" w:color="auto"/>
            <w:right w:val="none" w:sz="0" w:space="0" w:color="auto"/>
          </w:divBdr>
        </w:div>
      </w:divsChild>
    </w:div>
    <w:div w:id="2043439098">
      <w:bodyDiv w:val="1"/>
      <w:marLeft w:val="0"/>
      <w:marRight w:val="0"/>
      <w:marTop w:val="0"/>
      <w:marBottom w:val="0"/>
      <w:divBdr>
        <w:top w:val="none" w:sz="0" w:space="0" w:color="auto"/>
        <w:left w:val="none" w:sz="0" w:space="0" w:color="auto"/>
        <w:bottom w:val="none" w:sz="0" w:space="0" w:color="auto"/>
        <w:right w:val="none" w:sz="0" w:space="0" w:color="auto"/>
      </w:divBdr>
    </w:div>
    <w:div w:id="2044592768">
      <w:bodyDiv w:val="1"/>
      <w:marLeft w:val="0"/>
      <w:marRight w:val="0"/>
      <w:marTop w:val="0"/>
      <w:marBottom w:val="0"/>
      <w:divBdr>
        <w:top w:val="none" w:sz="0" w:space="0" w:color="auto"/>
        <w:left w:val="none" w:sz="0" w:space="0" w:color="auto"/>
        <w:bottom w:val="none" w:sz="0" w:space="0" w:color="auto"/>
        <w:right w:val="none" w:sz="0" w:space="0" w:color="auto"/>
      </w:divBdr>
    </w:div>
    <w:div w:id="2102674148">
      <w:bodyDiv w:val="1"/>
      <w:marLeft w:val="0"/>
      <w:marRight w:val="0"/>
      <w:marTop w:val="0"/>
      <w:marBottom w:val="0"/>
      <w:divBdr>
        <w:top w:val="none" w:sz="0" w:space="0" w:color="auto"/>
        <w:left w:val="none" w:sz="0" w:space="0" w:color="auto"/>
        <w:bottom w:val="none" w:sz="0" w:space="0" w:color="auto"/>
        <w:right w:val="none" w:sz="0" w:space="0" w:color="auto"/>
      </w:divBdr>
      <w:divsChild>
        <w:div w:id="353381705">
          <w:marLeft w:val="0"/>
          <w:marRight w:val="0"/>
          <w:marTop w:val="0"/>
          <w:marBottom w:val="0"/>
          <w:divBdr>
            <w:top w:val="none" w:sz="0" w:space="0" w:color="auto"/>
            <w:left w:val="none" w:sz="0" w:space="0" w:color="auto"/>
            <w:bottom w:val="none" w:sz="0" w:space="0" w:color="auto"/>
            <w:right w:val="none" w:sz="0" w:space="0" w:color="auto"/>
          </w:divBdr>
        </w:div>
        <w:div w:id="1509059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The24</b:Tag>
    <b:SourceType>JournalArticle</b:SourceType>
    <b:Guid>{059042AC-9165-4F99-BAF9-ABE60616621A}</b:Guid>
    <b:Title>Digital Literacy in Education: Preparing Students for the Future Workforce.</b:Title>
    <b:Year>2024</b:Year>
    <b:Author>
      <b:Author>
        <b:NameList>
          <b:Person>
            <b:Last>Thelma</b:Last>
            <b:First>C.</b:First>
            <b:Middle>C., Sain, Z. H., Shogbesan, Y. O., Phiri, E. V., &amp; Akpan, W. M.</b:Middle>
          </b:Person>
        </b:NameList>
      </b:Author>
    </b:Author>
    <b:JournalName>International Journal of Research, 11(8)</b:JournalName>
    <b:Pages>327–344. https://doi.org/10.5281/zenodo.13347718</b:Pages>
    <b:RefOrder>1</b:RefOrder>
  </b:Source>
  <b:Source>
    <b:Tag>Beć23</b:Tag>
    <b:SourceType>Book</b:SourceType>
    <b:Guid>{8D32C810-9C90-4417-A837-5E1AB509E614}</b:Guid>
    <b:Author>
      <b:Author>
        <b:NameList>
          <b:Person>
            <b:Last>Bećirović</b:Last>
            <b:First>S.</b:First>
            <b:Middle>SpringerBriefs in Education().</b:Middle>
          </b:Person>
        </b:NameList>
      </b:Author>
    </b:Author>
    <b:Title>Challenges and Barriers for Effective Integration of Technologies into Teaching and Learning. In: Digital Pedagogy</b:Title>
    <b:Year>2023</b:Year>
    <b:City>Singapore. https://doi.org/10.1007/978-981-99-0444-0_10</b:City>
    <b:Publisher>Springer</b:Publisher>
    <b:RefOrder>2</b:RefOrder>
  </b:Source>
</b:Sources>
</file>

<file path=customXml/itemProps1.xml><?xml version="1.0" encoding="utf-8"?>
<ds:datastoreItem xmlns:ds="http://schemas.openxmlformats.org/officeDocument/2006/customXml" ds:itemID="{EB579C32-C60A-4808-8491-ABE45AFD8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3444</Words>
  <Characters>19635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oblino</dc:creator>
  <cp:keywords/>
  <dc:description/>
  <cp:lastModifiedBy>ANTO HEBHSIBA</cp:lastModifiedBy>
  <cp:revision>2</cp:revision>
  <cp:lastPrinted>2025-02-03T07:13:00Z</cp:lastPrinted>
  <dcterms:created xsi:type="dcterms:W3CDTF">2025-06-08T17:34:00Z</dcterms:created>
  <dcterms:modified xsi:type="dcterms:W3CDTF">2025-06-08T17:34:00Z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4da9d303-a72c-46cd-ba68-488f822827ea</vt:lpwstr>
  </property>
</Properties>
</file>