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OPTATIVA PROFESIONAL II (Código: ELE0300747,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OPTATIVA PROFESIONAL II</w:t>
        <w:br/>
        <w:t>• Código Académico: ELE0300747</w:t>
        <w:br/>
        <w:t>• Semestre del Plan de Estudios: Semestre 9°</w:t>
        <w:br/>
        <w:t>• Total de Estudiantes Solicitantes Preinscritos: 13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13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Mauricio Armando Muñoz Gómez</w:t>
            </w:r>
          </w:p>
        </w:tc>
        <w:tc>
          <w:tcPr>
            <w:tcW w:type="dxa" w:w="1728"/>
            <w:tcMar>
              <w:top w:w="100" w:type="dxa"/>
              <w:bottom w:w="100" w:type="dxa"/>
              <w:left w:w="80" w:type="dxa"/>
              <w:right w:w="80" w:type="dxa"/>
            </w:tcMar>
            <w:shd w:fill="F9FAF8"/>
          </w:tcPr>
          <w:p>
            <w:pPr>
              <w:jc w:val="center"/>
            </w:pPr>
            <w:r>
              <w:rPr>
                <w:sz w:val="17"/>
              </w:rPr>
              <w:t>ELE220251011</w:t>
            </w:r>
          </w:p>
        </w:tc>
        <w:tc>
          <w:tcPr>
            <w:tcW w:type="dxa" w:w="1584"/>
            <w:tcMar>
              <w:top w:w="100" w:type="dxa"/>
              <w:bottom w:w="100" w:type="dxa"/>
              <w:left w:w="80" w:type="dxa"/>
              <w:right w:w="80" w:type="dxa"/>
            </w:tcMar>
            <w:shd w:fill="F9FAF8"/>
          </w:tcPr>
          <w:p>
            <w:pPr>
              <w:jc w:val="center"/>
            </w:pPr>
            <w:r>
              <w:rPr>
                <w:sz w:val="17"/>
              </w:rPr>
              <w:t>3137103823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Charlie jars Cardozo urrego</w:t>
            </w:r>
          </w:p>
        </w:tc>
        <w:tc>
          <w:tcPr>
            <w:tcW w:type="dxa" w:w="1728"/>
            <w:tcMar>
              <w:top w:w="100" w:type="dxa"/>
              <w:bottom w:w="100" w:type="dxa"/>
              <w:left w:w="80" w:type="dxa"/>
              <w:right w:w="80" w:type="dxa"/>
            </w:tcMar>
            <w:shd w:fill="FFFFFF"/>
          </w:tcPr>
          <w:p>
            <w:pPr>
              <w:jc w:val="center"/>
            </w:pPr>
            <w:r>
              <w:rPr>
                <w:sz w:val="17"/>
              </w:rPr>
              <w:t>1075224876</w:t>
            </w:r>
          </w:p>
        </w:tc>
        <w:tc>
          <w:tcPr>
            <w:tcW w:type="dxa" w:w="1584"/>
            <w:tcMar>
              <w:top w:w="100" w:type="dxa"/>
              <w:bottom w:w="100" w:type="dxa"/>
              <w:left w:w="80" w:type="dxa"/>
              <w:right w:w="80" w:type="dxa"/>
            </w:tcMar>
            <w:shd w:fill="FFFFFF"/>
          </w:tcPr>
          <w:p>
            <w:pPr>
              <w:jc w:val="center"/>
            </w:pPr>
            <w:r>
              <w:rPr>
                <w:sz w:val="17"/>
              </w:rPr>
              <w:t>3209454733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