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Bagnoli Roberto
          <w:br/>
          fdfdfd 
          <w:br/>
          33333 roma RG
          <w:br/>
          C.F. RBBCLK87C24H163V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medicine
          <w:br/>
          02/2018
        </w:t>
      </w:r>
    </w:p>
    <w:p>
      <w:pPr>
        <w:jc w:val="right"/>
      </w:pPr>
      <w:r>
        <w:t>
          <w:br/>
          <w:br/>
          <w:br/>
        </w:t>
        <w:t>
          medicine 02/2018                       € 22,00
          <w:br/>
        </w:t>
        <w:t>
          IMPONIBILE                    € 22,00
          <w:br/>
        </w:t>
        <w:t>
          <w:br/>
          TOTALE RICEVUTA                     €  22,00
          <w:br/>
          <w:br/>
        </w:t>
        <w:t>
          <w:br/>
          <w:br/>
          TOTALE A CREDITO                     €  22,00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