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3236AA" w14:textId="77777777" w:rsidR="00EF538F" w:rsidRDefault="00EF538F" w:rsidP="00EF538F"/>
    <w:p w14:paraId="6467E2E9" w14:textId="77777777" w:rsidR="00EF538F" w:rsidRDefault="00EF538F" w:rsidP="00EF538F">
      <w:pPr>
        <w:pStyle w:val="Heading2"/>
        <w:spacing w:line="276" w:lineRule="auto"/>
      </w:pPr>
      <w:r w:rsidRPr="00243AE8">
        <w:t>Named Entity Recognition</w:t>
      </w:r>
      <w:r>
        <w:t xml:space="preserve"> </w:t>
      </w:r>
    </w:p>
    <w:p w14:paraId="38C4559F" w14:textId="160993DC" w:rsidR="00A40AD2" w:rsidRDefault="00EF538F" w:rsidP="004676EA">
      <w:pPr>
        <w:spacing w:line="276" w:lineRule="auto"/>
      </w:pPr>
      <w:r>
        <w:t xml:space="preserve">Manual annotation of the entire thesis archive is not only time-consuming </w:t>
      </w:r>
      <w:r w:rsidR="00A40AD2">
        <w:t xml:space="preserve">and </w:t>
      </w:r>
      <w:r w:rsidR="004676EA">
        <w:t>non-</w:t>
      </w:r>
      <w:r>
        <w:t xml:space="preserve">scalable, but </w:t>
      </w:r>
      <w:r w:rsidR="004676EA">
        <w:t xml:space="preserve">also </w:t>
      </w:r>
      <w:r>
        <w:t>prone to human error. Therefore, a more efficient automatic approach</w:t>
      </w:r>
      <w:r w:rsidR="004676EA">
        <w:t xml:space="preserve"> based on</w:t>
      </w:r>
      <w:r>
        <w:t xml:space="preserve"> deep learning models</w:t>
      </w:r>
      <w:r w:rsidR="004676EA">
        <w:t xml:space="preserve"> was explored.</w:t>
      </w:r>
      <w:r>
        <w:t xml:space="preserve"> </w:t>
      </w:r>
      <w:r w:rsidR="008F746D">
        <w:t>A preliminary experiment compared t</w:t>
      </w:r>
      <w:r>
        <w:t>wo model</w:t>
      </w:r>
      <w:r w:rsidR="00A40AD2">
        <w:t xml:space="preserve"> types: </w:t>
      </w:r>
      <w:r w:rsidRPr="004676EA">
        <w:rPr>
          <w:b/>
          <w:bCs/>
        </w:rPr>
        <w:t>BERT</w:t>
      </w:r>
      <w:r>
        <w:t xml:space="preserve"> (Bidirectional Encoder model from Transformers), a </w:t>
      </w:r>
      <w:r w:rsidRPr="007C5E44">
        <w:t xml:space="preserve">pretrained </w:t>
      </w:r>
      <w:r>
        <w:t xml:space="preserve">NLP model </w:t>
      </w:r>
      <w:r w:rsidR="004676EA">
        <w:t xml:space="preserve">commonly used for </w:t>
      </w:r>
      <w:r w:rsidR="004676EA" w:rsidRPr="004676EA">
        <w:t xml:space="preserve">sequence labeling tasks </w:t>
      </w:r>
      <w:r>
        <w:t>(</w:t>
      </w:r>
      <w:hyperlink r:id="rId7" w:history="1">
        <w:r w:rsidRPr="007C5E44">
          <w:rPr>
            <w:rStyle w:val="Hyperlink"/>
          </w:rPr>
          <w:t>CITE</w:t>
        </w:r>
      </w:hyperlink>
      <w:r w:rsidR="00C822A0">
        <w:t>)</w:t>
      </w:r>
      <w:r w:rsidR="00A40AD2">
        <w:t>, a</w:t>
      </w:r>
      <w:r>
        <w:t xml:space="preserve">nd </w:t>
      </w:r>
      <w:r w:rsidRPr="004676EA">
        <w:rPr>
          <w:b/>
          <w:bCs/>
        </w:rPr>
        <w:t>Gemini</w:t>
      </w:r>
      <w:r>
        <w:t xml:space="preserve">, a general-purpose generative AI model </w:t>
      </w:r>
      <w:r w:rsidR="004676EA">
        <w:t>developed by</w:t>
      </w:r>
      <w:r>
        <w:t xml:space="preserve"> Google. </w:t>
      </w:r>
      <w:r w:rsidR="004676EA">
        <w:t>The models</w:t>
      </w:r>
      <w:r w:rsidR="00C822A0">
        <w:t xml:space="preserve"> were evaluated on their </w:t>
      </w:r>
      <w:r w:rsidR="004676EA">
        <w:t>performance</w:t>
      </w:r>
      <w:r w:rsidR="00C822A0">
        <w:t xml:space="preserve"> in the NER task, using the same labeling scheme and rules </w:t>
      </w:r>
      <w:r w:rsidR="0008691E">
        <w:t>that</w:t>
      </w:r>
      <w:r w:rsidR="00C822A0">
        <w:t xml:space="preserve"> were used by the human annotators.</w:t>
      </w:r>
    </w:p>
    <w:p w14:paraId="704934E8" w14:textId="2FC426D2" w:rsidR="004676EA" w:rsidRDefault="004676EA" w:rsidP="004676EA">
      <w:pPr>
        <w:spacing w:line="276" w:lineRule="auto"/>
      </w:pPr>
      <w:r>
        <w:t>The comparison was motivated by the different assumptions that these models make about the training data</w:t>
      </w:r>
      <w:commentRangeStart w:id="0"/>
      <w:r w:rsidR="00EF538F">
        <w:t xml:space="preserve">. While BERT </w:t>
      </w:r>
      <w:r>
        <w:t>and related architectures</w:t>
      </w:r>
      <w:r w:rsidR="00EF538F">
        <w:t xml:space="preserve"> are commonly used for </w:t>
      </w:r>
      <w:commentRangeStart w:id="1"/>
      <w:r w:rsidR="00EF538F">
        <w:t xml:space="preserve">NER, </w:t>
      </w:r>
      <w:commentRangeEnd w:id="1"/>
      <w:r w:rsidR="00C822A0">
        <w:rPr>
          <w:rStyle w:val="CommentReference"/>
          <w:sz w:val="22"/>
          <w:szCs w:val="22"/>
        </w:rPr>
        <w:commentReference w:id="1"/>
      </w:r>
      <w:r w:rsidR="00EF538F">
        <w:t xml:space="preserve">most models </w:t>
      </w:r>
      <w:r>
        <w:t>assume</w:t>
      </w:r>
      <w:r w:rsidR="00EF538F">
        <w:t xml:space="preserve"> that the training data is fully</w:t>
      </w:r>
      <w:r>
        <w:t xml:space="preserve"> and consistently</w:t>
      </w:r>
      <w:r w:rsidR="00EF538F">
        <w:t xml:space="preserve"> annotated</w:t>
      </w:r>
      <w:r>
        <w:t xml:space="preserve">. They </w:t>
      </w:r>
      <w:r w:rsidR="00EF538F">
        <w:t xml:space="preserve">struggle when </w:t>
      </w:r>
      <w:r>
        <w:t xml:space="preserve">a large proportion of the </w:t>
      </w:r>
      <w:r w:rsidR="00EF538F">
        <w:t xml:space="preserve">entities are labeled as </w:t>
      </w:r>
      <w:r>
        <w:rPr>
          <w:i/>
          <w:iCs/>
        </w:rPr>
        <w:t xml:space="preserve">outside </w:t>
      </w:r>
      <w:r>
        <w:t xml:space="preserve">(O) </w:t>
      </w:r>
      <w:r w:rsidR="00EF538F">
        <w:t xml:space="preserve">due to incomplete </w:t>
      </w:r>
      <w:r>
        <w:t>annotation</w:t>
      </w:r>
      <w:r w:rsidR="00EF538F">
        <w:t xml:space="preserve">. As </w:t>
      </w:r>
      <w:r>
        <w:t>specified</w:t>
      </w:r>
      <w:r w:rsidR="00EF538F">
        <w:t xml:space="preserve"> in the annotation guidelines, the human annotators only </w:t>
      </w:r>
      <w:r>
        <w:t>labeled</w:t>
      </w:r>
      <w:r w:rsidR="00EF538F">
        <w:t xml:space="preserve"> the first five instances of each entity</w:t>
      </w:r>
      <w:r>
        <w:t xml:space="preserve">, and </w:t>
      </w:r>
      <w:r w:rsidR="00EF538F">
        <w:t xml:space="preserve">restricted their </w:t>
      </w:r>
      <w:r>
        <w:t>work</w:t>
      </w:r>
      <w:r w:rsidR="00EF538F">
        <w:t xml:space="preserve"> to the main sections, </w:t>
      </w:r>
      <w:r w:rsidR="00C822A0">
        <w:t>leaving the rest of the text untouched.</w:t>
      </w:r>
      <w:r w:rsidR="00EF538F">
        <w:t xml:space="preserve"> </w:t>
      </w:r>
      <w:r>
        <w:t xml:space="preserve">It was also </w:t>
      </w:r>
      <w:r w:rsidR="009819FF">
        <w:t xml:space="preserve">shown through inter-annotator agreement </w:t>
      </w:r>
      <w:r>
        <w:t xml:space="preserve">analysis </w:t>
      </w:r>
      <w:r w:rsidR="00EF538F">
        <w:t xml:space="preserve">that human error and </w:t>
      </w:r>
      <w:r>
        <w:t>subjective interpretations resulted in some entities being missed entirely.</w:t>
      </w:r>
      <w:r w:rsidR="00EF538F">
        <w:t xml:space="preserve"> Consequently, </w:t>
      </w:r>
      <w:r>
        <w:t>while most</w:t>
      </w:r>
      <w:r w:rsidR="00EF538F">
        <w:t xml:space="preserve"> identified entities are correct, not all </w:t>
      </w:r>
      <w:r>
        <w:t xml:space="preserve">relevant </w:t>
      </w:r>
      <w:r w:rsidR="00EF538F">
        <w:t xml:space="preserve">entities </w:t>
      </w:r>
      <w:r>
        <w:t>were</w:t>
      </w:r>
      <w:r w:rsidR="00EF538F">
        <w:t xml:space="preserve"> identified, and examples of the negative class </w:t>
      </w:r>
      <w:r>
        <w:t xml:space="preserve">are not reliable </w:t>
      </w:r>
      <w:r w:rsidR="00EF538F">
        <w:t>(CITE).</w:t>
      </w:r>
      <w:r w:rsidR="00C822A0">
        <w:t xml:space="preserve"> This creates</w:t>
      </w:r>
      <w:r>
        <w:t xml:space="preserve"> noisy</w:t>
      </w:r>
      <w:r w:rsidR="00C822A0">
        <w:t xml:space="preserve"> training data</w:t>
      </w:r>
      <w:r>
        <w:t xml:space="preserve">, which undermines the effectiveness of the BERT model’s fine-tuning. </w:t>
      </w:r>
    </w:p>
    <w:p w14:paraId="47A213D9" w14:textId="16CA7723" w:rsidR="00EF538F" w:rsidRDefault="00C822A0" w:rsidP="004676EA">
      <w:pPr>
        <w:spacing w:line="276" w:lineRule="auto"/>
      </w:pPr>
      <w:r>
        <w:t>Gemini, on the other hand,</w:t>
      </w:r>
      <w:r w:rsidR="00EF538F">
        <w:t xml:space="preserve"> </w:t>
      </w:r>
      <w:r w:rsidR="009819FF">
        <w:t>can overcome this issue.</w:t>
      </w:r>
    </w:p>
    <w:p w14:paraId="6040DA8D" w14:textId="5F23BDBB" w:rsidR="000F6397" w:rsidRDefault="004676EA" w:rsidP="00EF538F">
      <w:r>
        <w:t>A further limitation of</w:t>
      </w:r>
      <w:r w:rsidR="000F6397">
        <w:t xml:space="preserve"> BERT models </w:t>
      </w:r>
      <w:r>
        <w:t xml:space="preserve">is their </w:t>
      </w:r>
      <w:r w:rsidR="000F6397">
        <w:t xml:space="preserve">context window of just 512 tokens. </w:t>
      </w:r>
      <w:r>
        <w:t>Give that the</w:t>
      </w:r>
      <w:r w:rsidR="000F6397">
        <w:t xml:space="preserve"> training theses have an average word count of </w:t>
      </w:r>
      <w:r w:rsidR="00776894">
        <w:t>more than 40 thousand</w:t>
      </w:r>
      <w:r>
        <w:t xml:space="preserve">, </w:t>
      </w:r>
      <w:r w:rsidR="000F6397">
        <w:t>texts</w:t>
      </w:r>
      <w:r w:rsidR="00776894">
        <w:t xml:space="preserve"> </w:t>
      </w:r>
      <w:r w:rsidR="000F6397">
        <w:t xml:space="preserve">need to be split </w:t>
      </w:r>
      <w:r w:rsidR="00776894">
        <w:t xml:space="preserve">into </w:t>
      </w:r>
      <w:r>
        <w:t xml:space="preserve">smaller </w:t>
      </w:r>
      <w:r w:rsidR="00776894">
        <w:t>sequences</w:t>
      </w:r>
      <w:r w:rsidR="000F6397">
        <w:t xml:space="preserve">. While this is a reasonable </w:t>
      </w:r>
      <w:r w:rsidR="006F5157">
        <w:t>approach</w:t>
      </w:r>
      <w:r w:rsidR="000F6397">
        <w:t xml:space="preserve"> for training</w:t>
      </w:r>
      <w:r w:rsidR="006F5157">
        <w:t xml:space="preserve"> for sentence-level learning</w:t>
      </w:r>
      <w:r w:rsidR="000F6397">
        <w:t xml:space="preserve">, it </w:t>
      </w:r>
      <w:r w:rsidR="006F5157">
        <w:t>curtains</w:t>
      </w:r>
      <w:r w:rsidR="000F6397">
        <w:t xml:space="preserve"> the opportunity for document-level learning. Gemini’s context window is ___, </w:t>
      </w:r>
      <w:r w:rsidR="006F5157">
        <w:t xml:space="preserve">allowing it to processes entire thesis. This allows it to benefit from document-level patterns such as </w:t>
      </w:r>
      <w:r w:rsidR="000F6397">
        <w:t xml:space="preserve">that the </w:t>
      </w:r>
      <w:r w:rsidR="000F6397">
        <w:rPr>
          <w:i/>
          <w:iCs/>
        </w:rPr>
        <w:t>Title</w:t>
      </w:r>
      <w:r w:rsidR="000F6397">
        <w:t xml:space="preserve"> an</w:t>
      </w:r>
      <w:r w:rsidR="0008691E">
        <w:t xml:space="preserve">d </w:t>
      </w:r>
      <w:r w:rsidR="000F6397">
        <w:rPr>
          <w:i/>
          <w:iCs/>
        </w:rPr>
        <w:t>Author</w:t>
      </w:r>
      <w:r w:rsidR="000F6397">
        <w:t xml:space="preserve"> are always found near the beginning of a </w:t>
      </w:r>
      <w:r w:rsidR="006F5157">
        <w:t>document</w:t>
      </w:r>
      <w:r w:rsidR="000F6397">
        <w:t>.</w:t>
      </w:r>
      <w:commentRangeEnd w:id="0"/>
      <w:r w:rsidR="0008691E">
        <w:rPr>
          <w:rStyle w:val="CommentReference"/>
          <w:sz w:val="22"/>
          <w:szCs w:val="22"/>
        </w:rPr>
        <w:commentReference w:id="0"/>
      </w:r>
    </w:p>
    <w:p w14:paraId="2FE042C0" w14:textId="77777777" w:rsidR="00EF538F" w:rsidRDefault="00EF538F" w:rsidP="00EF538F">
      <w:pPr>
        <w:spacing w:line="276" w:lineRule="auto"/>
      </w:pPr>
    </w:p>
    <w:p w14:paraId="496D8E33" w14:textId="77777777" w:rsidR="00EF538F" w:rsidRPr="00331B49" w:rsidRDefault="00EF538F" w:rsidP="00EF538F">
      <w:pPr>
        <w:spacing w:line="276" w:lineRule="auto"/>
        <w:rPr>
          <w:sz w:val="36"/>
          <w:szCs w:val="36"/>
          <w:u w:val="single"/>
        </w:rPr>
      </w:pPr>
      <w:r w:rsidRPr="00331B49">
        <w:rPr>
          <w:sz w:val="36"/>
          <w:szCs w:val="36"/>
          <w:u w:val="single"/>
        </w:rPr>
        <w:t>Model evaluation</w:t>
      </w:r>
    </w:p>
    <w:p w14:paraId="5F50FE40" w14:textId="77777777" w:rsidR="002240E8" w:rsidRDefault="00EF538F" w:rsidP="002240E8">
      <w:pPr>
        <w:spacing w:line="276" w:lineRule="auto"/>
      </w:pPr>
      <w:r>
        <w:t xml:space="preserve">A custom evaluation methodology was developed </w:t>
      </w:r>
      <w:r w:rsidR="0008691E">
        <w:t>to</w:t>
      </w:r>
      <w:r>
        <w:t xml:space="preserve"> compare the </w:t>
      </w:r>
      <w:r w:rsidR="0008691E">
        <w:t>effectiveness</w:t>
      </w:r>
      <w:r w:rsidR="002240E8">
        <w:t xml:space="preserve"> of the models</w:t>
      </w:r>
      <w:r w:rsidR="0008691E">
        <w:t xml:space="preserve"> in </w:t>
      </w:r>
      <w:r w:rsidR="002240E8">
        <w:t>extracting entities</w:t>
      </w:r>
      <w:r w:rsidR="0008691E">
        <w:t xml:space="preserve">, </w:t>
      </w:r>
      <w:r w:rsidR="002240E8">
        <w:t xml:space="preserve">with a focus their applicability </w:t>
      </w:r>
      <w:r w:rsidR="0008691E">
        <w:t>to the downstream task of entity linking.</w:t>
      </w:r>
      <w:r w:rsidR="0017218C">
        <w:t xml:space="preserve"> </w:t>
      </w:r>
      <w:r w:rsidR="002240E8">
        <w:t>Standard</w:t>
      </w:r>
      <w:r w:rsidR="00331B49">
        <w:t xml:space="preserve"> evaluation metrics of NER models</w:t>
      </w:r>
      <w:r w:rsidR="002240E8">
        <w:t xml:space="preserve"> </w:t>
      </w:r>
      <w:r w:rsidR="002240E8" w:rsidRPr="002240E8">
        <w:t>—</w:t>
      </w:r>
      <w:r w:rsidR="00331B49">
        <w:t>precision, recall, and F1</w:t>
      </w:r>
      <w:r w:rsidR="002240E8" w:rsidRPr="002240E8">
        <w:t>—</w:t>
      </w:r>
      <w:r w:rsidR="002240E8">
        <w:t xml:space="preserve"> </w:t>
      </w:r>
      <w:r w:rsidR="00331B49">
        <w:t xml:space="preserve">are </w:t>
      </w:r>
      <w:r w:rsidR="002240E8">
        <w:t>derived from</w:t>
      </w:r>
      <w:r w:rsidR="00331B49">
        <w:t xml:space="preserve"> a confusion matrix</w:t>
      </w:r>
      <w:r w:rsidR="0017218C">
        <w:t>, show in [TABLE x].</w:t>
      </w:r>
      <w:r w:rsidR="00331B49">
        <w:t xml:space="preserve"> </w:t>
      </w:r>
      <w:r w:rsidR="002240E8">
        <w:t>Rather than computing metrics</w:t>
      </w:r>
      <w:r w:rsidR="0017218C">
        <w:t xml:space="preserve"> at a sentence level, they were calculated </w:t>
      </w:r>
      <w:r w:rsidR="002240E8">
        <w:t xml:space="preserve">at a document level, based </w:t>
      </w:r>
      <w:r w:rsidR="0017218C">
        <w:t xml:space="preserve">on </w:t>
      </w:r>
      <w:r w:rsidR="00204578">
        <w:t xml:space="preserve">the </w:t>
      </w:r>
      <w:r w:rsidR="0017218C">
        <w:t xml:space="preserve">model’s prediction </w:t>
      </w:r>
      <w:r w:rsidR="002240E8">
        <w:t>across</w:t>
      </w:r>
      <w:r w:rsidR="0017218C">
        <w:t xml:space="preserve"> an entire thesis.</w:t>
      </w:r>
    </w:p>
    <w:p w14:paraId="6E21EC3B" w14:textId="65ABAFBD" w:rsidR="0017218C" w:rsidRDefault="002240E8" w:rsidP="002240E8">
      <w:pPr>
        <w:spacing w:line="276" w:lineRule="auto"/>
      </w:pPr>
      <w:r>
        <w:t>For evaluation,</w:t>
      </w:r>
      <w:r w:rsidR="00204578">
        <w:t xml:space="preserve"> </w:t>
      </w:r>
      <w:r>
        <w:t xml:space="preserve">the set of </w:t>
      </w:r>
      <w:r w:rsidR="00204578">
        <w:t xml:space="preserve">entities </w:t>
      </w:r>
      <w:r>
        <w:t>in the reference data was</w:t>
      </w:r>
      <w:r w:rsidR="00204578">
        <w:t xml:space="preserve"> compared </w:t>
      </w:r>
      <w:r>
        <w:t>against</w:t>
      </w:r>
      <w:r w:rsidR="00204578">
        <w:t xml:space="preserve"> </w:t>
      </w:r>
      <w:r>
        <w:t xml:space="preserve">the set of </w:t>
      </w:r>
      <w:r w:rsidR="00204578">
        <w:t>entities</w:t>
      </w:r>
      <w:r>
        <w:t xml:space="preserve"> predicted anywhere within the same thesis,</w:t>
      </w:r>
      <w:r w:rsidR="00204578">
        <w:t xml:space="preserve"> regardless of</w:t>
      </w:r>
      <w:r>
        <w:t xml:space="preserve"> their exact</w:t>
      </w:r>
      <w:r w:rsidR="00204578">
        <w:t xml:space="preserve"> location</w:t>
      </w:r>
      <w:r>
        <w:t xml:space="preserve"> or number of occurrences</w:t>
      </w:r>
      <w:r w:rsidR="00204578">
        <w:t>.</w:t>
      </w:r>
      <w:r w:rsidR="0017218C">
        <w:t xml:space="preserve"> </w:t>
      </w:r>
      <w:r>
        <w:t>For</w:t>
      </w:r>
      <w:r w:rsidR="00204578">
        <w:t xml:space="preserve"> example, if </w:t>
      </w:r>
      <w:r w:rsidR="00204578" w:rsidRPr="002240E8">
        <w:rPr>
          <w:i/>
          <w:iCs/>
        </w:rPr>
        <w:t>“</w:t>
      </w:r>
      <w:proofErr w:type="spellStart"/>
      <w:r w:rsidR="00204578" w:rsidRPr="002240E8">
        <w:rPr>
          <w:i/>
          <w:iCs/>
        </w:rPr>
        <w:t>Nieuwegein</w:t>
      </w:r>
      <w:proofErr w:type="spellEnd"/>
      <w:r w:rsidR="00204578" w:rsidRPr="002240E8">
        <w:rPr>
          <w:i/>
          <w:iCs/>
        </w:rPr>
        <w:t>”</w:t>
      </w:r>
      <w:r w:rsidR="00204578">
        <w:t xml:space="preserve"> was </w:t>
      </w:r>
      <w:r>
        <w:t xml:space="preserve">labeled as </w:t>
      </w:r>
      <w:r w:rsidR="00204578">
        <w:rPr>
          <w:i/>
          <w:iCs/>
        </w:rPr>
        <w:t>spatial</w:t>
      </w:r>
      <w:r>
        <w:rPr>
          <w:i/>
          <w:iCs/>
        </w:rPr>
        <w:t xml:space="preserve"> </w:t>
      </w:r>
      <w:r>
        <w:t xml:space="preserve">in a given </w:t>
      </w:r>
      <w:r w:rsidR="00204578">
        <w:t xml:space="preserve">thesis, and the model </w:t>
      </w:r>
      <w:r>
        <w:lastRenderedPageBreak/>
        <w:t>predicted</w:t>
      </w:r>
      <w:r w:rsidR="00204578">
        <w:t xml:space="preserve"> </w:t>
      </w:r>
      <w:r w:rsidR="00204578" w:rsidRPr="002240E8">
        <w:rPr>
          <w:i/>
          <w:iCs/>
        </w:rPr>
        <w:t>“</w:t>
      </w:r>
      <w:proofErr w:type="spellStart"/>
      <w:r w:rsidR="00204578" w:rsidRPr="002240E8">
        <w:rPr>
          <w:i/>
          <w:iCs/>
        </w:rPr>
        <w:t>Nieuwegein</w:t>
      </w:r>
      <w:proofErr w:type="spellEnd"/>
      <w:r w:rsidRPr="002240E8">
        <w:rPr>
          <w:i/>
          <w:iCs/>
        </w:rPr>
        <w:t>”</w:t>
      </w:r>
      <w:r w:rsidR="00204578">
        <w:rPr>
          <w:i/>
          <w:iCs/>
        </w:rPr>
        <w:t xml:space="preserve"> </w:t>
      </w:r>
      <w:r w:rsidR="00204578">
        <w:t xml:space="preserve">as </w:t>
      </w:r>
      <w:r w:rsidR="00204578">
        <w:rPr>
          <w:i/>
          <w:iCs/>
        </w:rPr>
        <w:t xml:space="preserve">spatial </w:t>
      </w:r>
      <w:r>
        <w:t>at any point</w:t>
      </w:r>
      <w:r w:rsidR="00204578">
        <w:t xml:space="preserve">, this was </w:t>
      </w:r>
      <w:r>
        <w:t>counted as</w:t>
      </w:r>
      <w:r w:rsidR="00204578">
        <w:t xml:space="preserve"> a </w:t>
      </w:r>
      <w:r w:rsidR="00204578" w:rsidRPr="002240E8">
        <w:rPr>
          <w:b/>
          <w:bCs/>
        </w:rPr>
        <w:t>True positive</w:t>
      </w:r>
      <w:r w:rsidR="00204578">
        <w:t xml:space="preserve">, </w:t>
      </w:r>
      <w:r>
        <w:t>even if these did not correspond to the same textual occurrence of the entity.</w:t>
      </w:r>
      <w:r w:rsidR="00204578">
        <w:t xml:space="preserve"> This approach </w:t>
      </w:r>
      <w:r>
        <w:t>compensates</w:t>
      </w:r>
      <w:r w:rsidR="00204578">
        <w:t xml:space="preserve"> for the </w:t>
      </w:r>
      <w:r w:rsidR="001024AE">
        <w:t>missing labels</w:t>
      </w:r>
      <w:r w:rsidR="00204578">
        <w:t xml:space="preserve"> in the annotations, and </w:t>
      </w:r>
      <w:r>
        <w:t xml:space="preserve">reflects the </w:t>
      </w:r>
      <w:r w:rsidR="001024AE">
        <w:t xml:space="preserve">practical </w:t>
      </w:r>
      <w:r>
        <w:t xml:space="preserve">goal of capturing the correct entities for </w:t>
      </w:r>
      <w:r w:rsidR="001024AE">
        <w:t xml:space="preserve">subsequent </w:t>
      </w:r>
      <w:r w:rsidR="00204578">
        <w:t>knowledge modeling.</w:t>
      </w:r>
      <w:r w:rsidR="0017218C">
        <w:t xml:space="preserve"> </w:t>
      </w:r>
    </w:p>
    <w:tbl>
      <w:tblPr>
        <w:tblStyle w:val="TableGrid"/>
        <w:tblW w:w="0" w:type="auto"/>
        <w:tblLook w:val="04A0" w:firstRow="1" w:lastRow="0" w:firstColumn="1" w:lastColumn="0" w:noHBand="0" w:noVBand="1"/>
      </w:tblPr>
      <w:tblGrid>
        <w:gridCol w:w="2425"/>
        <w:gridCol w:w="3330"/>
        <w:gridCol w:w="3595"/>
      </w:tblGrid>
      <w:tr w:rsidR="0017218C" w14:paraId="02F95810" w14:textId="77777777" w:rsidTr="00BB5AA4">
        <w:tc>
          <w:tcPr>
            <w:tcW w:w="2425" w:type="dxa"/>
          </w:tcPr>
          <w:p w14:paraId="12B29E2A" w14:textId="77777777" w:rsidR="0017218C" w:rsidRDefault="0017218C" w:rsidP="00BB5AA4"/>
        </w:tc>
        <w:tc>
          <w:tcPr>
            <w:tcW w:w="3330" w:type="dxa"/>
          </w:tcPr>
          <w:p w14:paraId="696A60E9" w14:textId="6414E7D7" w:rsidR="0017218C" w:rsidRDefault="0017218C" w:rsidP="00BB5AA4">
            <w:r>
              <w:t>Labeled in reference</w:t>
            </w:r>
          </w:p>
        </w:tc>
        <w:tc>
          <w:tcPr>
            <w:tcW w:w="3595" w:type="dxa"/>
          </w:tcPr>
          <w:p w14:paraId="3114B891" w14:textId="77777777" w:rsidR="0017218C" w:rsidRDefault="0017218C" w:rsidP="00BB5AA4">
            <w:r>
              <w:t>Not labeled in reference</w:t>
            </w:r>
          </w:p>
        </w:tc>
      </w:tr>
      <w:tr w:rsidR="0017218C" w14:paraId="0D0BCF07" w14:textId="77777777" w:rsidTr="00BB5AA4">
        <w:tc>
          <w:tcPr>
            <w:tcW w:w="2425" w:type="dxa"/>
          </w:tcPr>
          <w:p w14:paraId="32B418EF" w14:textId="77777777" w:rsidR="0017218C" w:rsidRDefault="0017218C" w:rsidP="00BB5AA4">
            <w:r>
              <w:t>Captured by model</w:t>
            </w:r>
          </w:p>
        </w:tc>
        <w:tc>
          <w:tcPr>
            <w:tcW w:w="3330" w:type="dxa"/>
          </w:tcPr>
          <w:p w14:paraId="422D485E" w14:textId="77777777" w:rsidR="0017218C" w:rsidRDefault="0017218C" w:rsidP="00BB5AA4">
            <w:pPr>
              <w:jc w:val="left"/>
            </w:pPr>
            <w:r w:rsidRPr="000A1A92">
              <w:rPr>
                <w:b/>
                <w:bCs/>
              </w:rPr>
              <w:t>True positive (TP)</w:t>
            </w:r>
            <w:r>
              <w:t>: Entity was annotated and was captured by the model</w:t>
            </w:r>
          </w:p>
        </w:tc>
        <w:tc>
          <w:tcPr>
            <w:tcW w:w="3595" w:type="dxa"/>
          </w:tcPr>
          <w:p w14:paraId="5E3E09D3" w14:textId="77777777" w:rsidR="0017218C" w:rsidRDefault="0017218C" w:rsidP="00BB5AA4">
            <w:pPr>
              <w:jc w:val="left"/>
            </w:pPr>
            <w:r w:rsidRPr="000A1A92">
              <w:rPr>
                <w:b/>
                <w:bCs/>
              </w:rPr>
              <w:t>False positive (FP)</w:t>
            </w:r>
            <w:r>
              <w:t>: Model predicted an entity that was not annotated (a spurious label)</w:t>
            </w:r>
          </w:p>
        </w:tc>
      </w:tr>
      <w:tr w:rsidR="0017218C" w14:paraId="4DEC90E9" w14:textId="77777777" w:rsidTr="00BB5AA4">
        <w:tc>
          <w:tcPr>
            <w:tcW w:w="2425" w:type="dxa"/>
          </w:tcPr>
          <w:p w14:paraId="1911FE30" w14:textId="77777777" w:rsidR="0017218C" w:rsidRDefault="0017218C" w:rsidP="00BB5AA4">
            <w:r>
              <w:t>Not captured by model</w:t>
            </w:r>
          </w:p>
        </w:tc>
        <w:tc>
          <w:tcPr>
            <w:tcW w:w="3330" w:type="dxa"/>
          </w:tcPr>
          <w:p w14:paraId="62512538" w14:textId="77777777" w:rsidR="0017218C" w:rsidRPr="000A1A92" w:rsidRDefault="0017218C" w:rsidP="00BB5AA4">
            <w:pPr>
              <w:jc w:val="left"/>
            </w:pPr>
            <w:r>
              <w:rPr>
                <w:b/>
                <w:bCs/>
              </w:rPr>
              <w:t xml:space="preserve">False positive (FN): </w:t>
            </w:r>
            <w:r>
              <w:t>Model did not predict an entity that was labeled</w:t>
            </w:r>
          </w:p>
        </w:tc>
        <w:tc>
          <w:tcPr>
            <w:tcW w:w="3595" w:type="dxa"/>
          </w:tcPr>
          <w:p w14:paraId="5E0DAE82" w14:textId="06FF4FAA" w:rsidR="0017218C" w:rsidRPr="000A1A92" w:rsidRDefault="0017218C" w:rsidP="00BB5AA4">
            <w:pPr>
              <w:jc w:val="left"/>
            </w:pPr>
            <w:r>
              <w:rPr>
                <w:b/>
                <w:bCs/>
              </w:rPr>
              <w:t xml:space="preserve">True negative (TN): </w:t>
            </w:r>
            <w:r>
              <w:t>Entity was not labeled and the model did not predict it</w:t>
            </w:r>
            <w:r w:rsidR="000166E8">
              <w:t xml:space="preserve"> (</w:t>
            </w:r>
            <w:r>
              <w:t>can’t be counted</w:t>
            </w:r>
            <w:r w:rsidR="000166E8">
              <w:t>)</w:t>
            </w:r>
          </w:p>
        </w:tc>
      </w:tr>
    </w:tbl>
    <w:p w14:paraId="2CCE744F" w14:textId="77777777" w:rsidR="00204578" w:rsidRDefault="00204578" w:rsidP="0017218C">
      <w:pPr>
        <w:spacing w:line="276" w:lineRule="auto"/>
      </w:pPr>
    </w:p>
    <w:p w14:paraId="672B7936" w14:textId="762AE186" w:rsidR="009819FF" w:rsidRDefault="001024AE" w:rsidP="001024AE">
      <w:pPr>
        <w:spacing w:line="276" w:lineRule="auto"/>
      </w:pPr>
      <w:r>
        <w:t>Due to the sparseness of the reference annotations, true negatives can’t be reliably identified and therefore should be excluded from evaluation. I</w:t>
      </w:r>
      <w:r w:rsidR="00331B49">
        <w:t>t is</w:t>
      </w:r>
      <w:r>
        <w:t xml:space="preserve"> also</w:t>
      </w:r>
      <w:r w:rsidR="00331B49">
        <w:t xml:space="preserve"> expected that a </w:t>
      </w:r>
      <w:r>
        <w:t>well-performing</w:t>
      </w:r>
      <w:r w:rsidR="00331B49">
        <w:t xml:space="preserve"> model </w:t>
      </w:r>
      <w:r>
        <w:t>will</w:t>
      </w:r>
      <w:r w:rsidR="00331B49">
        <w:t xml:space="preserve"> predict </w:t>
      </w:r>
      <w:r>
        <w:t xml:space="preserve">valid </w:t>
      </w:r>
      <w:r w:rsidR="00331B49">
        <w:t>entities that were not labeled</w:t>
      </w:r>
      <w:r>
        <w:t xml:space="preserve"> by the human annotators</w:t>
      </w:r>
      <w:r w:rsidR="00331B49">
        <w:t xml:space="preserve">, </w:t>
      </w:r>
      <w:r>
        <w:t xml:space="preserve">so </w:t>
      </w:r>
      <w:r w:rsidR="00331B49">
        <w:t xml:space="preserve">they should not be counted against the model. </w:t>
      </w:r>
      <w:r>
        <w:t>For this reason,</w:t>
      </w:r>
      <w:r w:rsidR="00204578">
        <w:t xml:space="preserve"> recall was </w:t>
      </w:r>
      <w:r>
        <w:t>selected as the primary evaluation metric. Recall is t</w:t>
      </w:r>
      <w:r w:rsidR="00204578">
        <w:t>he true positive rate (TRP)</w:t>
      </w:r>
      <w:r>
        <w:t>, calculated as</w:t>
      </w:r>
      <w:r w:rsidR="000166E8">
        <w:t xml:space="preserve"> the</w:t>
      </w:r>
      <w:r>
        <w:t xml:space="preserve"> </w:t>
      </w:r>
      <w:r w:rsidR="00204578">
        <w:t xml:space="preserve">proportion of </w:t>
      </w:r>
      <w:r w:rsidR="000166E8">
        <w:t>annotated entities that were correctly by the model</w:t>
      </w:r>
      <w:r w:rsidR="00204578">
        <w:t xml:space="preserve">. A high </w:t>
      </w:r>
      <w:r w:rsidR="000166E8">
        <w:t>recall</w:t>
      </w:r>
      <w:r w:rsidR="00204578">
        <w:t xml:space="preserve"> </w:t>
      </w:r>
      <w:r w:rsidR="000166E8">
        <w:t>indicates</w:t>
      </w:r>
      <w:r w:rsidR="00204578">
        <w:t xml:space="preserve"> that the model was able to</w:t>
      </w:r>
      <w:r w:rsidR="000166E8">
        <w:t xml:space="preserve"> successfully</w:t>
      </w:r>
      <w:r w:rsidR="00204578">
        <w:t xml:space="preserve"> capture the entities that were manually labeled by people</w:t>
      </w:r>
      <w:r w:rsidR="0004797D">
        <w:t xml:space="preserve">, even if it made </w:t>
      </w:r>
      <w:r w:rsidR="000166E8">
        <w:t xml:space="preserve">additional unverified </w:t>
      </w:r>
      <w:r w:rsidR="0004797D">
        <w:t>guesses.</w:t>
      </w:r>
      <w:r w:rsidR="0004797D" w:rsidRPr="0004797D">
        <w:t xml:space="preserve"> </w:t>
      </w:r>
      <w:r w:rsidR="000166E8">
        <w:t>For the BERT model,</w:t>
      </w:r>
      <w:r w:rsidR="009819FF">
        <w:t xml:space="preserve"> recall </w:t>
      </w:r>
      <w:r w:rsidR="000166E8">
        <w:t>was</w:t>
      </w:r>
      <w:r w:rsidR="009819FF">
        <w:t xml:space="preserve"> </w:t>
      </w:r>
      <w:r w:rsidR="000166E8">
        <w:t>computer</w:t>
      </w:r>
      <w:r w:rsidR="009819FF">
        <w:t xml:space="preserve"> for each </w:t>
      </w:r>
      <w:r w:rsidR="000166E8">
        <w:t xml:space="preserve">evaluation thesis after each epoch and then averaged, and the best epoch is reported. </w:t>
      </w:r>
      <w:r w:rsidR="009819FF">
        <w:t xml:space="preserve">For the Gemini model, recall was calculated from </w:t>
      </w:r>
      <w:r w:rsidR="000166E8">
        <w:t xml:space="preserve">the response produced for each thesis </w:t>
      </w:r>
      <w:r w:rsidR="009819FF">
        <w:t xml:space="preserve">and then averaged. Results </w:t>
      </w:r>
      <w:r w:rsidR="0004797D">
        <w:t xml:space="preserve">are </w:t>
      </w:r>
      <w:r w:rsidR="000166E8">
        <w:t xml:space="preserve">reported per entity label </w:t>
      </w:r>
      <w:r w:rsidR="0004797D">
        <w:t>and as a weighted average based on</w:t>
      </w:r>
      <w:r w:rsidR="000166E8">
        <w:t xml:space="preserve"> reference</w:t>
      </w:r>
      <w:r w:rsidR="0004797D">
        <w:t xml:space="preserve"> label frequency.</w:t>
      </w:r>
    </w:p>
    <w:p w14:paraId="6D5CD6AA" w14:textId="4C2F01A7" w:rsidR="0004797D" w:rsidRDefault="0004797D" w:rsidP="00204578">
      <w:pPr>
        <w:spacing w:line="276" w:lineRule="auto"/>
      </w:pPr>
    </w:p>
    <w:p w14:paraId="0E8494D3" w14:textId="625837AD" w:rsidR="00204578" w:rsidRDefault="00204578" w:rsidP="0004797D">
      <w:pPr>
        <w:spacing w:line="276" w:lineRule="auto"/>
        <w:jc w:val="center"/>
      </w:pPr>
      <w:r w:rsidRPr="000A1A92">
        <w:rPr>
          <w:noProof/>
        </w:rPr>
        <w:drawing>
          <wp:inline distT="0" distB="0" distL="0" distR="0" wp14:anchorId="3FCB17A5" wp14:editId="6D56F85E">
            <wp:extent cx="4269600" cy="461172"/>
            <wp:effectExtent l="0" t="0" r="0" b="0"/>
            <wp:docPr id="31204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87354" name=""/>
                    <pic:cNvPicPr/>
                  </pic:nvPicPr>
                  <pic:blipFill>
                    <a:blip r:embed="rId12"/>
                    <a:stretch>
                      <a:fillRect/>
                    </a:stretch>
                  </pic:blipFill>
                  <pic:spPr>
                    <a:xfrm>
                      <a:off x="0" y="0"/>
                      <a:ext cx="4274462" cy="461697"/>
                    </a:xfrm>
                    <a:prstGeom prst="rect">
                      <a:avLst/>
                    </a:prstGeom>
                  </pic:spPr>
                </pic:pic>
              </a:graphicData>
            </a:graphic>
          </wp:inline>
        </w:drawing>
      </w:r>
    </w:p>
    <w:p w14:paraId="7660004E" w14:textId="640330A8" w:rsidR="00331B49" w:rsidRDefault="00204578" w:rsidP="0004797D">
      <w:pPr>
        <w:jc w:val="left"/>
      </w:pPr>
      <w:r>
        <w:t xml:space="preserve"> </w:t>
      </w:r>
    </w:p>
    <w:p w14:paraId="1E1407F9" w14:textId="77777777" w:rsidR="008632C6" w:rsidRDefault="00331B49" w:rsidP="009819FF">
      <w:pPr>
        <w:spacing w:line="276" w:lineRule="auto"/>
      </w:pPr>
      <w:r>
        <w:t xml:space="preserve">As was </w:t>
      </w:r>
      <w:r w:rsidR="008632C6">
        <w:t>discussed in the previous section</w:t>
      </w:r>
      <w:r>
        <w:t xml:space="preserve"> on inter-annotator agreement, NER evaluation </w:t>
      </w:r>
      <w:r w:rsidR="009819FF">
        <w:t xml:space="preserve">can be ambiguous since it </w:t>
      </w:r>
      <w:r>
        <w:t xml:space="preserve">assess not only if an entity was </w:t>
      </w:r>
      <w:r w:rsidR="008632C6">
        <w:t>given</w:t>
      </w:r>
      <w:r>
        <w:t xml:space="preserve"> the right label, but also whether the entity span matches exactly the reference or only partially overlaps with it </w:t>
      </w:r>
      <w:r w:rsidRPr="00E30D68">
        <w:t>(</w:t>
      </w:r>
      <w:proofErr w:type="spellStart"/>
      <w:r w:rsidRPr="00E30D68">
        <w:t>Seow</w:t>
      </w:r>
      <w:proofErr w:type="spellEnd"/>
      <w:r w:rsidRPr="00E30D68">
        <w:t xml:space="preserve"> et al., 202</w:t>
      </w:r>
      <w:r w:rsidR="009819FF">
        <w:t xml:space="preserve">5). </w:t>
      </w:r>
      <w:r w:rsidR="008632C6">
        <w:t>In this comparison,</w:t>
      </w:r>
      <w:r w:rsidR="009819FF">
        <w:t xml:space="preserve"> </w:t>
      </w:r>
      <w:r w:rsidR="008632C6">
        <w:t xml:space="preserve">a string span-matching </w:t>
      </w:r>
      <w:r w:rsidR="009819FF">
        <w:t>approach</w:t>
      </w:r>
      <w:r w:rsidR="008632C6">
        <w:t xml:space="preserve"> was used</w:t>
      </w:r>
      <w:r w:rsidR="009819FF">
        <w:t xml:space="preserve">, </w:t>
      </w:r>
      <w:r w:rsidR="008632C6">
        <w:t>requiring</w:t>
      </w:r>
      <w:r w:rsidR="009819FF">
        <w:t xml:space="preserve"> </w:t>
      </w:r>
      <w:r w:rsidR="008632C6">
        <w:t xml:space="preserve">predicted </w:t>
      </w:r>
      <w:r w:rsidR="009819FF">
        <w:t xml:space="preserve">entity spans </w:t>
      </w:r>
      <w:r w:rsidR="008632C6">
        <w:t>to match the reference spans in order to count as correct</w:t>
      </w:r>
      <w:r w:rsidR="009819FF">
        <w:t xml:space="preserve">. This was done because </w:t>
      </w:r>
      <w:r w:rsidR="008632C6">
        <w:t>the inclusion of different tokens can change the intended meaning of an entity</w:t>
      </w:r>
      <w:r w:rsidR="009819FF">
        <w:t xml:space="preserve">, particularly </w:t>
      </w:r>
      <w:r w:rsidR="008632C6">
        <w:t>for the</w:t>
      </w:r>
      <w:r w:rsidR="009819FF">
        <w:t xml:space="preserve"> </w:t>
      </w:r>
      <w:r w:rsidR="009819FF">
        <w:rPr>
          <w:i/>
          <w:iCs/>
        </w:rPr>
        <w:t xml:space="preserve">Spatial </w:t>
      </w:r>
      <w:r w:rsidR="009819FF">
        <w:t xml:space="preserve">and </w:t>
      </w:r>
      <w:r w:rsidR="009819FF">
        <w:rPr>
          <w:i/>
          <w:iCs/>
        </w:rPr>
        <w:t>Subject</w:t>
      </w:r>
      <w:r w:rsidR="008632C6">
        <w:t xml:space="preserve"> labels. </w:t>
      </w:r>
    </w:p>
    <w:p w14:paraId="459343A9" w14:textId="361D98A6" w:rsidR="00331B49" w:rsidRDefault="008632C6" w:rsidP="008632C6">
      <w:pPr>
        <w:spacing w:line="276" w:lineRule="auto"/>
      </w:pPr>
      <w:r w:rsidRPr="008632C6">
        <w:rPr>
          <w:highlight w:val="magenta"/>
        </w:rPr>
        <w:t>T</w:t>
      </w:r>
      <w:r w:rsidR="009819FF" w:rsidRPr="008632C6">
        <w:rPr>
          <w:highlight w:val="magenta"/>
        </w:rPr>
        <w:t>o account for filler words</w:t>
      </w:r>
      <w:r w:rsidRPr="008632C6">
        <w:rPr>
          <w:highlight w:val="magenta"/>
        </w:rPr>
        <w:t xml:space="preserve"> and minor variations that do not affect meaning, string similarity matching was used. To account for minor variations that do not affect semantic interpretation, </w:t>
      </w:r>
      <w:r w:rsidRPr="008632C6">
        <w:rPr>
          <w:b/>
          <w:bCs/>
          <w:highlight w:val="magenta"/>
        </w:rPr>
        <w:t>string similarity matching</w:t>
      </w:r>
      <w:r w:rsidRPr="008632C6">
        <w:rPr>
          <w:highlight w:val="magenta"/>
        </w:rPr>
        <w:t xml:space="preserve"> was applied prior to span comparison. Two entity strings were considered equivalent if they differed only by non-informative filler words (such as determiners or prepositions), punctuation, or capitalization, and if their normalized lexical forms matched. Normalization </w:t>
      </w:r>
      <w:r w:rsidRPr="008632C6">
        <w:rPr>
          <w:highlight w:val="magenta"/>
        </w:rPr>
        <w:lastRenderedPageBreak/>
        <w:t>consisted of lowercasing, removal of punctuation, and stripping of leading and trailing stop words. After normalization, entity strings were required to be identical for a match to be registered. In all cases, the entity label assigned by the model was required to exactly match the reference label.</w:t>
      </w:r>
      <w:r>
        <w:t xml:space="preserve"> In all cases, l</w:t>
      </w:r>
      <w:r w:rsidR="009819FF">
        <w:t xml:space="preserve">abels </w:t>
      </w:r>
      <w:r>
        <w:t>were required to match.</w:t>
      </w:r>
      <w:r w:rsidR="009819FF">
        <w:t xml:space="preserve"> </w:t>
      </w:r>
    </w:p>
    <w:p w14:paraId="4BF17338" w14:textId="2C47A435" w:rsidR="0008691E" w:rsidRDefault="0008691E" w:rsidP="0008691E">
      <w:pPr>
        <w:spacing w:line="276" w:lineRule="auto"/>
      </w:pPr>
      <w:r>
        <w:t xml:space="preserve">A document-level splitting strategy was used to randomly divide the annotated theses into a training set of 16 and an evaluation set of 4. This </w:t>
      </w:r>
      <w:r w:rsidR="008632C6">
        <w:t>approach was chosen</w:t>
      </w:r>
      <w:r>
        <w:t xml:space="preserve"> over random sequence-level splitting chiefly to reflect real-world document processing and achieve a relatively balanced distribution of label types between training and validation. </w:t>
      </w:r>
      <w:r w:rsidR="008632C6">
        <w:t xml:space="preserve">Using the same training and validation data </w:t>
      </w:r>
      <w:r w:rsidR="00D33AF2">
        <w:t>also</w:t>
      </w:r>
      <w:r w:rsidR="008632C6">
        <w:t xml:space="preserve"> enables a fair comparison between</w:t>
      </w:r>
      <w:r w:rsidR="00D33AF2">
        <w:t xml:space="preserve"> BERT </w:t>
      </w:r>
      <w:r w:rsidR="008632C6">
        <w:t>and Gemini, since the latter does not ____.</w:t>
      </w:r>
    </w:p>
    <w:p w14:paraId="13885006" w14:textId="77777777" w:rsidR="00EF538F" w:rsidRDefault="00EF538F" w:rsidP="00EF538F">
      <w:pPr>
        <w:spacing w:line="276" w:lineRule="auto"/>
      </w:pPr>
    </w:p>
    <w:p w14:paraId="1B84B37C" w14:textId="24B27140" w:rsidR="00EF538F" w:rsidRPr="008F746D" w:rsidRDefault="008F746D" w:rsidP="008F746D">
      <w:pPr>
        <w:spacing w:line="276" w:lineRule="auto"/>
        <w:rPr>
          <w:sz w:val="36"/>
          <w:szCs w:val="36"/>
          <w:u w:val="single"/>
        </w:rPr>
      </w:pPr>
      <w:r w:rsidRPr="008F746D">
        <w:rPr>
          <w:sz w:val="36"/>
          <w:szCs w:val="36"/>
          <w:u w:val="single"/>
        </w:rPr>
        <w:t>Model Results</w:t>
      </w:r>
    </w:p>
    <w:p w14:paraId="63E8E2B9" w14:textId="22B7544D" w:rsidR="006B391A" w:rsidRPr="006B391A" w:rsidRDefault="006B391A" w:rsidP="0004797D">
      <w:pPr>
        <w:spacing w:line="276" w:lineRule="auto"/>
        <w:rPr>
          <w:highlight w:val="magenta"/>
          <w:u w:val="single"/>
        </w:rPr>
      </w:pPr>
      <w:r w:rsidRPr="006B391A">
        <w:rPr>
          <w:highlight w:val="magenta"/>
          <w:u w:val="single"/>
        </w:rPr>
        <w:t>B</w:t>
      </w:r>
      <w:r>
        <w:rPr>
          <w:highlight w:val="magenta"/>
          <w:u w:val="single"/>
        </w:rPr>
        <w:t>ERT</w:t>
      </w:r>
      <w:r w:rsidRPr="006B391A">
        <w:rPr>
          <w:highlight w:val="magenta"/>
          <w:u w:val="single"/>
        </w:rPr>
        <w:t xml:space="preserve"> Model</w:t>
      </w:r>
    </w:p>
    <w:p w14:paraId="4DF94901" w14:textId="0A045977" w:rsidR="007E72D3" w:rsidRDefault="00EF538F" w:rsidP="0004797D">
      <w:pPr>
        <w:spacing w:line="276" w:lineRule="auto"/>
      </w:pPr>
      <w:r w:rsidRPr="00D357AE">
        <w:rPr>
          <w:highlight w:val="magenta"/>
        </w:rPr>
        <w:t xml:space="preserve">BERT is trained to understand language context using a masked language model and a next sentence prediction model. It is readily available online in a pretrained format for English (and many other languages) and only requires fine-tuning to a particular NLP task. To classify words with labels, we need to fine-tune BERT to our Named Entity Recognition (NER) </w:t>
      </w:r>
      <w:commentRangeStart w:id="2"/>
      <w:r w:rsidRPr="00D357AE">
        <w:rPr>
          <w:highlight w:val="magenta"/>
        </w:rPr>
        <w:t>task</w:t>
      </w:r>
      <w:commentRangeEnd w:id="2"/>
      <w:r w:rsidRPr="00D357AE">
        <w:rPr>
          <w:rStyle w:val="CommentReference"/>
          <w:sz w:val="22"/>
          <w:szCs w:val="22"/>
          <w:highlight w:val="magenta"/>
        </w:rPr>
        <w:commentReference w:id="2"/>
      </w:r>
      <w:r w:rsidRPr="00D357AE">
        <w:rPr>
          <w:highlight w:val="magenta"/>
        </w:rPr>
        <w:t>. NER seeks to classify words in a text into predefined categories or tags, which in our case is the assignment of the BCDO tags</w:t>
      </w:r>
    </w:p>
    <w:p w14:paraId="338EEDE4" w14:textId="64A9D506" w:rsidR="007E72D3" w:rsidRDefault="007E72D3" w:rsidP="007E72D3">
      <w:pPr>
        <w:spacing w:line="276" w:lineRule="auto"/>
      </w:pPr>
      <w:r>
        <w:t xml:space="preserve">The model used was </w:t>
      </w:r>
      <w:proofErr w:type="spellStart"/>
      <w:r>
        <w:t>BERTje</w:t>
      </w:r>
      <w:proofErr w:type="spellEnd"/>
      <w:r>
        <w:rPr>
          <w:rStyle w:val="FootnoteReference"/>
        </w:rPr>
        <w:footnoteReference w:id="1"/>
      </w:r>
      <w:r>
        <w:t xml:space="preserve">, a monolingual Dutch BERT model with a token-level classification head for sequence labeling tasks (CITE). The </w:t>
      </w:r>
      <w:proofErr w:type="spellStart"/>
      <w:r>
        <w:t>BERTje</w:t>
      </w:r>
      <w:proofErr w:type="spellEnd"/>
      <w:r>
        <w:t xml:space="preserve"> checkpoint hosted on Hugging Face</w:t>
      </w:r>
      <w:r>
        <w:rPr>
          <w:rStyle w:val="FootnoteReference"/>
        </w:rPr>
        <w:footnoteReference w:id="2"/>
      </w:r>
      <w:r>
        <w:t xml:space="preserve"> was fine-tuned on two versions of the training dataset to compare the effect of the label sample size. The original BIO labeling scheme resulted in 13 possible labels, meaning a small sample size for each. </w:t>
      </w:r>
      <w:commentRangeStart w:id="3"/>
      <w:r>
        <w:t>Then</w:t>
      </w:r>
      <w:commentRangeEnd w:id="3"/>
      <w:r>
        <w:rPr>
          <w:rStyle w:val="CommentReference"/>
          <w:sz w:val="22"/>
          <w:szCs w:val="22"/>
        </w:rPr>
        <w:commentReference w:id="3"/>
      </w:r>
      <w:r>
        <w:t>, the documents were relabeled with an IO scheme (inside-</w:t>
      </w:r>
      <w:proofErr w:type="spellStart"/>
      <w:r>
        <w:t>outisde</w:t>
      </w:r>
      <w:proofErr w:type="spellEnd"/>
      <w:r>
        <w:t xml:space="preserve">). This increased the sample size of each tag, and also clarified that entities that were labeled with B or I and the same label are semantically </w:t>
      </w:r>
      <w:r w:rsidR="0004797D">
        <w:t>related</w:t>
      </w:r>
      <w:r>
        <w:t xml:space="preserve">. </w:t>
      </w:r>
    </w:p>
    <w:tbl>
      <w:tblPr>
        <w:tblStyle w:val="TableGrid"/>
        <w:tblW w:w="0" w:type="auto"/>
        <w:tblLook w:val="04A0" w:firstRow="1" w:lastRow="0" w:firstColumn="1" w:lastColumn="0" w:noHBand="0" w:noVBand="1"/>
      </w:tblPr>
      <w:tblGrid>
        <w:gridCol w:w="2337"/>
        <w:gridCol w:w="2337"/>
        <w:gridCol w:w="2338"/>
      </w:tblGrid>
      <w:tr w:rsidR="00C453D0" w14:paraId="1206A720" w14:textId="77777777" w:rsidTr="00BB5AA4">
        <w:tc>
          <w:tcPr>
            <w:tcW w:w="2337" w:type="dxa"/>
          </w:tcPr>
          <w:p w14:paraId="4F16723B" w14:textId="77777777" w:rsidR="00C453D0" w:rsidRPr="00020457" w:rsidRDefault="00C453D0" w:rsidP="00BB5AA4">
            <w:pPr>
              <w:spacing w:line="276" w:lineRule="auto"/>
              <w:rPr>
                <w:b/>
                <w:bCs/>
              </w:rPr>
            </w:pPr>
            <w:r w:rsidRPr="00020457">
              <w:rPr>
                <w:b/>
                <w:bCs/>
              </w:rPr>
              <w:t>Label</w:t>
            </w:r>
          </w:p>
        </w:tc>
        <w:tc>
          <w:tcPr>
            <w:tcW w:w="2337" w:type="dxa"/>
          </w:tcPr>
          <w:p w14:paraId="2B29276A" w14:textId="77777777" w:rsidR="00C453D0" w:rsidRPr="00020457" w:rsidRDefault="00C453D0" w:rsidP="00BB5AA4">
            <w:pPr>
              <w:spacing w:line="276" w:lineRule="auto"/>
              <w:rPr>
                <w:b/>
                <w:bCs/>
              </w:rPr>
            </w:pPr>
            <w:r w:rsidRPr="00020457">
              <w:rPr>
                <w:b/>
                <w:bCs/>
              </w:rPr>
              <w:t>BIO-labeling</w:t>
            </w:r>
          </w:p>
        </w:tc>
        <w:tc>
          <w:tcPr>
            <w:tcW w:w="2338" w:type="dxa"/>
          </w:tcPr>
          <w:p w14:paraId="64D9C926" w14:textId="77777777" w:rsidR="00C453D0" w:rsidRPr="00020457" w:rsidRDefault="00C453D0" w:rsidP="00BB5AA4">
            <w:pPr>
              <w:spacing w:line="276" w:lineRule="auto"/>
              <w:rPr>
                <w:b/>
                <w:bCs/>
              </w:rPr>
            </w:pPr>
            <w:r w:rsidRPr="00020457">
              <w:rPr>
                <w:b/>
                <w:bCs/>
              </w:rPr>
              <w:t>IO-labeling</w:t>
            </w:r>
          </w:p>
        </w:tc>
      </w:tr>
      <w:tr w:rsidR="00C453D0" w14:paraId="1F7F2B1B" w14:textId="77777777" w:rsidTr="00BB5AA4">
        <w:tc>
          <w:tcPr>
            <w:tcW w:w="2337" w:type="dxa"/>
          </w:tcPr>
          <w:p w14:paraId="244634D1" w14:textId="77777777" w:rsidR="00C453D0" w:rsidRDefault="00C453D0" w:rsidP="00BB5AA4">
            <w:pPr>
              <w:spacing w:line="276" w:lineRule="auto"/>
              <w:jc w:val="left"/>
            </w:pPr>
            <w:r>
              <w:t>O</w:t>
            </w:r>
          </w:p>
        </w:tc>
        <w:tc>
          <w:tcPr>
            <w:tcW w:w="2337" w:type="dxa"/>
          </w:tcPr>
          <w:p w14:paraId="346506A0" w14:textId="77777777" w:rsidR="00C453D0" w:rsidRDefault="00C453D0" w:rsidP="00BB5AA4">
            <w:pPr>
              <w:spacing w:line="276" w:lineRule="auto"/>
            </w:pPr>
            <w:r>
              <w:t>514852</w:t>
            </w:r>
          </w:p>
        </w:tc>
        <w:tc>
          <w:tcPr>
            <w:tcW w:w="2338" w:type="dxa"/>
          </w:tcPr>
          <w:p w14:paraId="22BBF3A8" w14:textId="77777777" w:rsidR="00C453D0" w:rsidRDefault="00C453D0" w:rsidP="00BB5AA4">
            <w:pPr>
              <w:spacing w:line="276" w:lineRule="auto"/>
            </w:pPr>
            <w:r>
              <w:t>514852</w:t>
            </w:r>
          </w:p>
        </w:tc>
      </w:tr>
      <w:tr w:rsidR="00C453D0" w14:paraId="1F741F6A" w14:textId="77777777" w:rsidTr="00BB5AA4">
        <w:tc>
          <w:tcPr>
            <w:tcW w:w="2337" w:type="dxa"/>
          </w:tcPr>
          <w:p w14:paraId="6CA571B0" w14:textId="77777777" w:rsidR="00C453D0" w:rsidRDefault="00C453D0" w:rsidP="00BB5AA4">
            <w:pPr>
              <w:spacing w:line="276" w:lineRule="auto"/>
              <w:jc w:val="left"/>
            </w:pPr>
            <w:r>
              <w:t>I-title</w:t>
            </w:r>
          </w:p>
        </w:tc>
        <w:tc>
          <w:tcPr>
            <w:tcW w:w="2337" w:type="dxa"/>
          </w:tcPr>
          <w:p w14:paraId="220766B3" w14:textId="77777777" w:rsidR="00C453D0" w:rsidRDefault="00C453D0" w:rsidP="00BB5AA4">
            <w:pPr>
              <w:spacing w:line="276" w:lineRule="auto"/>
            </w:pPr>
            <w:r>
              <w:t>281</w:t>
            </w:r>
          </w:p>
        </w:tc>
        <w:tc>
          <w:tcPr>
            <w:tcW w:w="2338" w:type="dxa"/>
          </w:tcPr>
          <w:p w14:paraId="10FB9AF3" w14:textId="77777777" w:rsidR="00C453D0" w:rsidRDefault="00C453D0" w:rsidP="00BB5AA4">
            <w:pPr>
              <w:spacing w:line="276" w:lineRule="auto"/>
            </w:pPr>
            <w:r>
              <w:t>311</w:t>
            </w:r>
          </w:p>
        </w:tc>
      </w:tr>
      <w:tr w:rsidR="00C453D0" w14:paraId="5A5BA662" w14:textId="77777777" w:rsidTr="00BB5AA4">
        <w:tc>
          <w:tcPr>
            <w:tcW w:w="2337" w:type="dxa"/>
          </w:tcPr>
          <w:p w14:paraId="44E5F5C2" w14:textId="77777777" w:rsidR="00C453D0" w:rsidRDefault="00C453D0" w:rsidP="00BB5AA4">
            <w:pPr>
              <w:spacing w:line="276" w:lineRule="auto"/>
              <w:jc w:val="left"/>
            </w:pPr>
            <w:r>
              <w:t>I-author</w:t>
            </w:r>
          </w:p>
        </w:tc>
        <w:tc>
          <w:tcPr>
            <w:tcW w:w="2337" w:type="dxa"/>
          </w:tcPr>
          <w:p w14:paraId="4511DB8F" w14:textId="77777777" w:rsidR="00C453D0" w:rsidRDefault="00C453D0" w:rsidP="00BB5AA4">
            <w:pPr>
              <w:spacing w:line="276" w:lineRule="auto"/>
            </w:pPr>
            <w:r>
              <w:t>64</w:t>
            </w:r>
          </w:p>
        </w:tc>
        <w:tc>
          <w:tcPr>
            <w:tcW w:w="2338" w:type="dxa"/>
          </w:tcPr>
          <w:p w14:paraId="5920CCBF" w14:textId="77777777" w:rsidR="00C453D0" w:rsidRDefault="00C453D0" w:rsidP="00BB5AA4">
            <w:pPr>
              <w:spacing w:line="276" w:lineRule="auto"/>
            </w:pPr>
            <w:r>
              <w:t>113</w:t>
            </w:r>
          </w:p>
        </w:tc>
      </w:tr>
      <w:tr w:rsidR="00C453D0" w14:paraId="6044208D" w14:textId="77777777" w:rsidTr="00BB5AA4">
        <w:tc>
          <w:tcPr>
            <w:tcW w:w="2337" w:type="dxa"/>
          </w:tcPr>
          <w:p w14:paraId="090AE621" w14:textId="77777777" w:rsidR="00C453D0" w:rsidRDefault="00C453D0" w:rsidP="00BB5AA4">
            <w:pPr>
              <w:spacing w:line="276" w:lineRule="auto"/>
              <w:jc w:val="left"/>
            </w:pPr>
            <w:r>
              <w:t>I-issued</w:t>
            </w:r>
          </w:p>
        </w:tc>
        <w:tc>
          <w:tcPr>
            <w:tcW w:w="2337" w:type="dxa"/>
          </w:tcPr>
          <w:p w14:paraId="022B4261" w14:textId="77777777" w:rsidR="00C453D0" w:rsidRDefault="00C453D0" w:rsidP="00BB5AA4">
            <w:pPr>
              <w:spacing w:line="276" w:lineRule="auto"/>
            </w:pPr>
            <w:r>
              <w:t>19</w:t>
            </w:r>
          </w:p>
        </w:tc>
        <w:tc>
          <w:tcPr>
            <w:tcW w:w="2338" w:type="dxa"/>
          </w:tcPr>
          <w:p w14:paraId="509E342A" w14:textId="77777777" w:rsidR="00C453D0" w:rsidRDefault="00C453D0" w:rsidP="00BB5AA4">
            <w:pPr>
              <w:spacing w:line="276" w:lineRule="auto"/>
            </w:pPr>
            <w:r>
              <w:t>36</w:t>
            </w:r>
          </w:p>
        </w:tc>
      </w:tr>
      <w:tr w:rsidR="00C453D0" w14:paraId="2E544BDB" w14:textId="77777777" w:rsidTr="00BB5AA4">
        <w:tc>
          <w:tcPr>
            <w:tcW w:w="2337" w:type="dxa"/>
          </w:tcPr>
          <w:p w14:paraId="30A1A447" w14:textId="77777777" w:rsidR="00C453D0" w:rsidRDefault="00C453D0" w:rsidP="00BB5AA4">
            <w:pPr>
              <w:spacing w:line="276" w:lineRule="auto"/>
              <w:jc w:val="left"/>
            </w:pPr>
            <w:r>
              <w:t>I-spatial</w:t>
            </w:r>
          </w:p>
        </w:tc>
        <w:tc>
          <w:tcPr>
            <w:tcW w:w="2337" w:type="dxa"/>
          </w:tcPr>
          <w:p w14:paraId="44281694" w14:textId="77777777" w:rsidR="00C453D0" w:rsidRDefault="00C453D0" w:rsidP="00BB5AA4">
            <w:pPr>
              <w:spacing w:line="276" w:lineRule="auto"/>
            </w:pPr>
            <w:r>
              <w:t>152</w:t>
            </w:r>
          </w:p>
        </w:tc>
        <w:tc>
          <w:tcPr>
            <w:tcW w:w="2338" w:type="dxa"/>
          </w:tcPr>
          <w:p w14:paraId="50F6FCFD" w14:textId="77777777" w:rsidR="00C453D0" w:rsidRDefault="00C453D0" w:rsidP="00BB5AA4">
            <w:pPr>
              <w:spacing w:line="276" w:lineRule="auto"/>
            </w:pPr>
            <w:r>
              <w:t>309</w:t>
            </w:r>
          </w:p>
        </w:tc>
      </w:tr>
      <w:tr w:rsidR="00C453D0" w14:paraId="5E96CB21" w14:textId="77777777" w:rsidTr="00BB5AA4">
        <w:tc>
          <w:tcPr>
            <w:tcW w:w="2337" w:type="dxa"/>
          </w:tcPr>
          <w:p w14:paraId="72EED125" w14:textId="77777777" w:rsidR="00C453D0" w:rsidRDefault="00C453D0" w:rsidP="00BB5AA4">
            <w:pPr>
              <w:spacing w:line="276" w:lineRule="auto"/>
              <w:jc w:val="left"/>
            </w:pPr>
            <w:r>
              <w:t>I-subject</w:t>
            </w:r>
          </w:p>
        </w:tc>
        <w:tc>
          <w:tcPr>
            <w:tcW w:w="2337" w:type="dxa"/>
          </w:tcPr>
          <w:p w14:paraId="4EDA684F" w14:textId="77777777" w:rsidR="00C453D0" w:rsidRDefault="00C453D0" w:rsidP="00BB5AA4">
            <w:pPr>
              <w:spacing w:line="276" w:lineRule="auto"/>
            </w:pPr>
            <w:r>
              <w:t>208</w:t>
            </w:r>
          </w:p>
        </w:tc>
        <w:tc>
          <w:tcPr>
            <w:tcW w:w="2338" w:type="dxa"/>
          </w:tcPr>
          <w:p w14:paraId="2BE07FE2" w14:textId="77777777" w:rsidR="00C453D0" w:rsidRDefault="00C453D0" w:rsidP="00BB5AA4">
            <w:pPr>
              <w:spacing w:line="276" w:lineRule="auto"/>
            </w:pPr>
            <w:r>
              <w:t>338</w:t>
            </w:r>
          </w:p>
        </w:tc>
      </w:tr>
      <w:tr w:rsidR="00C453D0" w14:paraId="03A28199" w14:textId="77777777" w:rsidTr="00BB5AA4">
        <w:tc>
          <w:tcPr>
            <w:tcW w:w="2337" w:type="dxa"/>
          </w:tcPr>
          <w:p w14:paraId="59FB9C82" w14:textId="77777777" w:rsidR="00C453D0" w:rsidRDefault="00C453D0" w:rsidP="00BB5AA4">
            <w:pPr>
              <w:spacing w:line="276" w:lineRule="auto"/>
              <w:jc w:val="left"/>
            </w:pPr>
            <w:r>
              <w:t>I-</w:t>
            </w:r>
            <w:proofErr w:type="spellStart"/>
            <w:r>
              <w:t>inGroup</w:t>
            </w:r>
            <w:proofErr w:type="spellEnd"/>
          </w:p>
        </w:tc>
        <w:tc>
          <w:tcPr>
            <w:tcW w:w="2337" w:type="dxa"/>
          </w:tcPr>
          <w:p w14:paraId="24B01A2B" w14:textId="77777777" w:rsidR="00C453D0" w:rsidRDefault="00C453D0" w:rsidP="00BB5AA4">
            <w:pPr>
              <w:spacing w:line="276" w:lineRule="auto"/>
            </w:pPr>
            <w:r>
              <w:t>116</w:t>
            </w:r>
          </w:p>
        </w:tc>
        <w:tc>
          <w:tcPr>
            <w:tcW w:w="2338" w:type="dxa"/>
          </w:tcPr>
          <w:p w14:paraId="12E8AF87" w14:textId="77777777" w:rsidR="00C453D0" w:rsidRDefault="00C453D0" w:rsidP="00BB5AA4">
            <w:pPr>
              <w:spacing w:line="276" w:lineRule="auto"/>
            </w:pPr>
            <w:r>
              <w:t>160</w:t>
            </w:r>
          </w:p>
        </w:tc>
      </w:tr>
      <w:tr w:rsidR="00C453D0" w14:paraId="6BDD66A6" w14:textId="77777777" w:rsidTr="00BB5AA4">
        <w:tc>
          <w:tcPr>
            <w:tcW w:w="2337" w:type="dxa"/>
          </w:tcPr>
          <w:p w14:paraId="0C527CDD" w14:textId="77777777" w:rsidR="00C453D0" w:rsidRDefault="00C453D0" w:rsidP="00BB5AA4">
            <w:pPr>
              <w:spacing w:line="276" w:lineRule="auto"/>
              <w:jc w:val="left"/>
            </w:pPr>
            <w:r>
              <w:t>B-title</w:t>
            </w:r>
          </w:p>
        </w:tc>
        <w:tc>
          <w:tcPr>
            <w:tcW w:w="2337" w:type="dxa"/>
          </w:tcPr>
          <w:p w14:paraId="538CD930" w14:textId="77777777" w:rsidR="00C453D0" w:rsidRDefault="00C453D0" w:rsidP="00BB5AA4">
            <w:pPr>
              <w:spacing w:line="276" w:lineRule="auto"/>
            </w:pPr>
            <w:r>
              <w:t>30</w:t>
            </w:r>
          </w:p>
        </w:tc>
        <w:tc>
          <w:tcPr>
            <w:tcW w:w="2338" w:type="dxa"/>
          </w:tcPr>
          <w:p w14:paraId="5D74FB66" w14:textId="77777777" w:rsidR="00C453D0" w:rsidRDefault="00C453D0" w:rsidP="00BB5AA4">
            <w:pPr>
              <w:spacing w:line="276" w:lineRule="auto"/>
            </w:pPr>
            <w:r>
              <w:t>-</w:t>
            </w:r>
          </w:p>
        </w:tc>
      </w:tr>
      <w:tr w:rsidR="00C453D0" w14:paraId="7D66C0C1" w14:textId="77777777" w:rsidTr="00BB5AA4">
        <w:tc>
          <w:tcPr>
            <w:tcW w:w="2337" w:type="dxa"/>
          </w:tcPr>
          <w:p w14:paraId="27B7CC0B" w14:textId="77777777" w:rsidR="00C453D0" w:rsidRDefault="00C453D0" w:rsidP="00BB5AA4">
            <w:pPr>
              <w:spacing w:line="276" w:lineRule="auto"/>
              <w:jc w:val="left"/>
            </w:pPr>
            <w:r>
              <w:lastRenderedPageBreak/>
              <w:t>B-issued</w:t>
            </w:r>
          </w:p>
        </w:tc>
        <w:tc>
          <w:tcPr>
            <w:tcW w:w="2337" w:type="dxa"/>
          </w:tcPr>
          <w:p w14:paraId="511B7E76" w14:textId="77777777" w:rsidR="00C453D0" w:rsidRDefault="00C453D0" w:rsidP="00BB5AA4">
            <w:pPr>
              <w:spacing w:line="276" w:lineRule="auto"/>
            </w:pPr>
            <w:r>
              <w:t>17</w:t>
            </w:r>
          </w:p>
        </w:tc>
        <w:tc>
          <w:tcPr>
            <w:tcW w:w="2338" w:type="dxa"/>
          </w:tcPr>
          <w:p w14:paraId="26CF651D" w14:textId="77777777" w:rsidR="00C453D0" w:rsidRDefault="00C453D0" w:rsidP="00BB5AA4">
            <w:pPr>
              <w:spacing w:line="276" w:lineRule="auto"/>
            </w:pPr>
            <w:r>
              <w:t>-</w:t>
            </w:r>
          </w:p>
        </w:tc>
      </w:tr>
      <w:tr w:rsidR="00C453D0" w14:paraId="0C8AE39A" w14:textId="77777777" w:rsidTr="00BB5AA4">
        <w:tc>
          <w:tcPr>
            <w:tcW w:w="2337" w:type="dxa"/>
          </w:tcPr>
          <w:p w14:paraId="69FDA74B" w14:textId="77777777" w:rsidR="00C453D0" w:rsidRDefault="00C453D0" w:rsidP="00BB5AA4">
            <w:pPr>
              <w:spacing w:line="276" w:lineRule="auto"/>
              <w:jc w:val="left"/>
            </w:pPr>
            <w:r>
              <w:t>B-author</w:t>
            </w:r>
          </w:p>
        </w:tc>
        <w:tc>
          <w:tcPr>
            <w:tcW w:w="2337" w:type="dxa"/>
          </w:tcPr>
          <w:p w14:paraId="4307D9C3" w14:textId="77777777" w:rsidR="00C453D0" w:rsidRDefault="00C453D0" w:rsidP="00BB5AA4">
            <w:pPr>
              <w:spacing w:line="276" w:lineRule="auto"/>
            </w:pPr>
            <w:r>
              <w:t>49</w:t>
            </w:r>
          </w:p>
        </w:tc>
        <w:tc>
          <w:tcPr>
            <w:tcW w:w="2338" w:type="dxa"/>
          </w:tcPr>
          <w:p w14:paraId="1F39EECD" w14:textId="77777777" w:rsidR="00C453D0" w:rsidRDefault="00C453D0" w:rsidP="00BB5AA4">
            <w:pPr>
              <w:spacing w:line="276" w:lineRule="auto"/>
            </w:pPr>
            <w:r>
              <w:t>-</w:t>
            </w:r>
          </w:p>
        </w:tc>
      </w:tr>
      <w:tr w:rsidR="00C453D0" w14:paraId="50520D34" w14:textId="77777777" w:rsidTr="00BB5AA4">
        <w:tc>
          <w:tcPr>
            <w:tcW w:w="2337" w:type="dxa"/>
          </w:tcPr>
          <w:p w14:paraId="474A361B" w14:textId="77777777" w:rsidR="00C453D0" w:rsidRDefault="00C453D0" w:rsidP="00BB5AA4">
            <w:pPr>
              <w:spacing w:line="276" w:lineRule="auto"/>
              <w:jc w:val="left"/>
            </w:pPr>
            <w:r>
              <w:t>B-spatial</w:t>
            </w:r>
          </w:p>
        </w:tc>
        <w:tc>
          <w:tcPr>
            <w:tcW w:w="2337" w:type="dxa"/>
          </w:tcPr>
          <w:p w14:paraId="050A7544" w14:textId="77777777" w:rsidR="00C453D0" w:rsidRDefault="00C453D0" w:rsidP="00BB5AA4">
            <w:pPr>
              <w:spacing w:line="276" w:lineRule="auto"/>
            </w:pPr>
            <w:r>
              <w:t>157</w:t>
            </w:r>
          </w:p>
        </w:tc>
        <w:tc>
          <w:tcPr>
            <w:tcW w:w="2338" w:type="dxa"/>
          </w:tcPr>
          <w:p w14:paraId="7D4161CE" w14:textId="77777777" w:rsidR="00C453D0" w:rsidRDefault="00C453D0" w:rsidP="00BB5AA4">
            <w:pPr>
              <w:spacing w:line="276" w:lineRule="auto"/>
            </w:pPr>
            <w:r>
              <w:t>-</w:t>
            </w:r>
          </w:p>
        </w:tc>
      </w:tr>
      <w:tr w:rsidR="00C453D0" w14:paraId="15CAF602" w14:textId="77777777" w:rsidTr="00BB5AA4">
        <w:tc>
          <w:tcPr>
            <w:tcW w:w="2337" w:type="dxa"/>
          </w:tcPr>
          <w:p w14:paraId="76D156FC" w14:textId="77777777" w:rsidR="00C453D0" w:rsidRDefault="00C453D0" w:rsidP="00BB5AA4">
            <w:pPr>
              <w:spacing w:line="276" w:lineRule="auto"/>
              <w:jc w:val="left"/>
            </w:pPr>
            <w:r>
              <w:t>B-</w:t>
            </w:r>
            <w:proofErr w:type="spellStart"/>
            <w:r>
              <w:t>inGroup</w:t>
            </w:r>
            <w:proofErr w:type="spellEnd"/>
          </w:p>
        </w:tc>
        <w:tc>
          <w:tcPr>
            <w:tcW w:w="2337" w:type="dxa"/>
          </w:tcPr>
          <w:p w14:paraId="5802EC3E" w14:textId="77777777" w:rsidR="00C453D0" w:rsidRDefault="00C453D0" w:rsidP="00BB5AA4">
            <w:pPr>
              <w:spacing w:line="276" w:lineRule="auto"/>
            </w:pPr>
            <w:r>
              <w:t>44</w:t>
            </w:r>
          </w:p>
        </w:tc>
        <w:tc>
          <w:tcPr>
            <w:tcW w:w="2338" w:type="dxa"/>
          </w:tcPr>
          <w:p w14:paraId="032DF98B" w14:textId="77777777" w:rsidR="00C453D0" w:rsidRDefault="00C453D0" w:rsidP="00BB5AA4">
            <w:pPr>
              <w:spacing w:line="276" w:lineRule="auto"/>
            </w:pPr>
            <w:r>
              <w:t>-</w:t>
            </w:r>
          </w:p>
        </w:tc>
      </w:tr>
      <w:tr w:rsidR="00C453D0" w14:paraId="6077C419" w14:textId="77777777" w:rsidTr="00BB5AA4">
        <w:tc>
          <w:tcPr>
            <w:tcW w:w="2337" w:type="dxa"/>
          </w:tcPr>
          <w:p w14:paraId="264C5A29" w14:textId="77777777" w:rsidR="00C453D0" w:rsidRDefault="00C453D0" w:rsidP="00BB5AA4">
            <w:pPr>
              <w:spacing w:line="276" w:lineRule="auto"/>
              <w:jc w:val="left"/>
            </w:pPr>
            <w:r>
              <w:t>B-subject</w:t>
            </w:r>
          </w:p>
        </w:tc>
        <w:tc>
          <w:tcPr>
            <w:tcW w:w="2337" w:type="dxa"/>
          </w:tcPr>
          <w:p w14:paraId="5A2BA08C" w14:textId="77777777" w:rsidR="00C453D0" w:rsidRDefault="00C453D0" w:rsidP="00BB5AA4">
            <w:pPr>
              <w:spacing w:line="276" w:lineRule="auto"/>
            </w:pPr>
            <w:r>
              <w:t>130</w:t>
            </w:r>
          </w:p>
        </w:tc>
        <w:tc>
          <w:tcPr>
            <w:tcW w:w="2338" w:type="dxa"/>
          </w:tcPr>
          <w:p w14:paraId="56BB09E7" w14:textId="77777777" w:rsidR="00C453D0" w:rsidRDefault="00C453D0" w:rsidP="00BB5AA4">
            <w:pPr>
              <w:spacing w:line="276" w:lineRule="auto"/>
            </w:pPr>
            <w:r>
              <w:t>-</w:t>
            </w:r>
          </w:p>
        </w:tc>
      </w:tr>
    </w:tbl>
    <w:p w14:paraId="62750953" w14:textId="77777777" w:rsidR="00051024" w:rsidRDefault="00051024" w:rsidP="007E72D3">
      <w:pPr>
        <w:spacing w:line="276" w:lineRule="auto"/>
      </w:pPr>
    </w:p>
    <w:p w14:paraId="11629DC5" w14:textId="0629D902" w:rsidR="0004797D" w:rsidRDefault="00051024" w:rsidP="00051024">
      <w:pPr>
        <w:spacing w:line="276" w:lineRule="auto"/>
      </w:pPr>
      <w:r w:rsidRPr="00541A6D">
        <w:t xml:space="preserve">The models were trained on one GPU for </w:t>
      </w:r>
      <w:r>
        <w:t xml:space="preserve">10 </w:t>
      </w:r>
      <w:r w:rsidRPr="00541A6D">
        <w:t>epochs</w:t>
      </w:r>
      <w:r>
        <w:t xml:space="preserve"> and </w:t>
      </w:r>
      <w:r w:rsidRPr="00541A6D">
        <w:t>batch size</w:t>
      </w:r>
      <w:r>
        <w:t xml:space="preserve"> of</w:t>
      </w:r>
      <w:r w:rsidRPr="00541A6D">
        <w:t xml:space="preserve"> 8</w:t>
      </w:r>
      <w:r>
        <w:t xml:space="preserve">. The recall of each thesis was calculated </w:t>
      </w:r>
      <w:r w:rsidR="00032559">
        <w:t xml:space="preserve">using the method discussed in earlier </w:t>
      </w:r>
      <w:r>
        <w:t>after each evaluation loop, and the weights of the best epoch was saved.</w:t>
      </w:r>
    </w:p>
    <w:p w14:paraId="0161427E" w14:textId="47492027" w:rsidR="00032559" w:rsidRDefault="0004797D" w:rsidP="00032559">
      <w:r>
        <w:t xml:space="preserve">In addition, training and evaluation loss are commonly used to describe __ and to diagnose overfitting. Because of the high ratio of O-labels to all other labels, loss approaches zero even if labels are not correct (the model could predict no labels at all and achieve a low loss). Therefore, these metrics are </w:t>
      </w:r>
      <w:r w:rsidR="00032559">
        <w:t>reported</w:t>
      </w:r>
      <w:r>
        <w:t xml:space="preserve"> but not considered in the selection. Recall was used to select the best epoch of the BERT model. </w:t>
      </w:r>
    </w:p>
    <w:p w14:paraId="7E92E3C4" w14:textId="2D676EA7" w:rsidR="006B391A" w:rsidRPr="006B391A" w:rsidRDefault="006B391A" w:rsidP="006B391A">
      <w:pPr>
        <w:rPr>
          <w:u w:val="single"/>
        </w:rPr>
      </w:pPr>
      <w:r w:rsidRPr="006B391A">
        <w:rPr>
          <w:u w:val="single"/>
        </w:rPr>
        <w:t xml:space="preserve">Gemini Model </w:t>
      </w:r>
    </w:p>
    <w:p w14:paraId="29CA8516" w14:textId="3CDEA8A9" w:rsidR="00051024" w:rsidRDefault="006B391A" w:rsidP="006B391A">
      <w:r>
        <w:t xml:space="preserve">[Short paragraph about it even is]. Gemini-3-flash. This model was chosen among other commercial LLMs because it is the latest model with a free tier. </w:t>
      </w:r>
      <w:r w:rsidR="00051024">
        <w:t xml:space="preserve">Two different iterations of the model were </w:t>
      </w:r>
      <w:r w:rsidR="00032559">
        <w:t>tested</w:t>
      </w:r>
      <w:r w:rsidR="00352EF2">
        <w:t xml:space="preserve"> with different prompts, which correspond to a </w:t>
      </w:r>
      <w:r w:rsidR="00051024">
        <w:t xml:space="preserve">few-shot </w:t>
      </w:r>
      <w:r w:rsidR="00352EF2">
        <w:t>and a zero-shot</w:t>
      </w:r>
      <w:r w:rsidR="00032559">
        <w:t xml:space="preserve"> run.</w:t>
      </w:r>
      <w:r>
        <w:t xml:space="preserve"> In the few-shot run, the model was provided with instructions, annotation rules, two examples of labeled texts, and an unlabeled thesis to annotate. Only two training examples could be provided (instead of 16 like in the BERT model) because of the model’s limit on 250,000 input tokens per minute. The training examples were randomly chosen for each run. The annotation rules were taken from the same annotation guide used by the human annotators. In the zero-shot run, the same prompt was used, but examples were not provided.</w:t>
      </w:r>
      <w:r w:rsidR="00051024">
        <w:t xml:space="preserve"> Prompts were created based on the prompt engineering recommendations</w:t>
      </w:r>
      <w:r w:rsidR="00051024">
        <w:rPr>
          <w:rStyle w:val="FootnoteReference"/>
        </w:rPr>
        <w:footnoteReference w:id="3"/>
      </w:r>
      <w:r w:rsidR="00051024">
        <w:t xml:space="preserve"> suggested by Google, and a few different versions were tested to find the best-performing prompt. The prompts used are shown in Appendix A.  </w:t>
      </w:r>
    </w:p>
    <w:p w14:paraId="6B3DA28E" w14:textId="4A5DD2DB" w:rsidR="00032559" w:rsidRDefault="00032559" w:rsidP="0004797D">
      <w:pPr>
        <w:spacing w:line="276" w:lineRule="auto"/>
      </w:pPr>
      <w:r>
        <w:t>Results</w:t>
      </w:r>
    </w:p>
    <w:tbl>
      <w:tblPr>
        <w:tblStyle w:val="TableGrid"/>
        <w:tblW w:w="0" w:type="auto"/>
        <w:tblLook w:val="04A0" w:firstRow="1" w:lastRow="0" w:firstColumn="1" w:lastColumn="0" w:noHBand="0" w:noVBand="1"/>
      </w:tblPr>
      <w:tblGrid>
        <w:gridCol w:w="3195"/>
        <w:gridCol w:w="3227"/>
        <w:gridCol w:w="2928"/>
      </w:tblGrid>
      <w:tr w:rsidR="00032559" w14:paraId="6E8D1B2D" w14:textId="32933B62" w:rsidTr="00032559">
        <w:tc>
          <w:tcPr>
            <w:tcW w:w="3195" w:type="dxa"/>
          </w:tcPr>
          <w:p w14:paraId="3256D8C0" w14:textId="61B4F700" w:rsidR="00032559" w:rsidRPr="00032559" w:rsidRDefault="00032559" w:rsidP="0004797D">
            <w:pPr>
              <w:spacing w:line="276" w:lineRule="auto"/>
              <w:rPr>
                <w:b/>
                <w:bCs/>
              </w:rPr>
            </w:pPr>
            <w:r w:rsidRPr="00032559">
              <w:rPr>
                <w:b/>
                <w:bCs/>
              </w:rPr>
              <w:t>Model</w:t>
            </w:r>
          </w:p>
        </w:tc>
        <w:tc>
          <w:tcPr>
            <w:tcW w:w="3227" w:type="dxa"/>
          </w:tcPr>
          <w:p w14:paraId="48C5FD24" w14:textId="2CA2F999" w:rsidR="00032559" w:rsidRPr="00032559" w:rsidRDefault="00032559" w:rsidP="0004797D">
            <w:pPr>
              <w:spacing w:line="276" w:lineRule="auto"/>
              <w:rPr>
                <w:b/>
                <w:bCs/>
              </w:rPr>
            </w:pPr>
            <w:r>
              <w:rPr>
                <w:b/>
                <w:bCs/>
              </w:rPr>
              <w:t>Per-label recall</w:t>
            </w:r>
          </w:p>
        </w:tc>
        <w:tc>
          <w:tcPr>
            <w:tcW w:w="2928" w:type="dxa"/>
          </w:tcPr>
          <w:p w14:paraId="5559E927" w14:textId="27A55E5C" w:rsidR="00032559" w:rsidRDefault="00032559" w:rsidP="0004797D">
            <w:pPr>
              <w:spacing w:line="276" w:lineRule="auto"/>
              <w:rPr>
                <w:b/>
                <w:bCs/>
              </w:rPr>
            </w:pPr>
            <w:r>
              <w:rPr>
                <w:b/>
                <w:bCs/>
              </w:rPr>
              <w:t>Weighted average recall</w:t>
            </w:r>
          </w:p>
        </w:tc>
      </w:tr>
      <w:tr w:rsidR="00032559" w14:paraId="399CA17D" w14:textId="7552731A" w:rsidTr="00032559">
        <w:tc>
          <w:tcPr>
            <w:tcW w:w="3195" w:type="dxa"/>
          </w:tcPr>
          <w:p w14:paraId="0AD8FDAF" w14:textId="1B50C595" w:rsidR="00032559" w:rsidRDefault="00032559" w:rsidP="0004797D">
            <w:pPr>
              <w:spacing w:line="276" w:lineRule="auto"/>
            </w:pPr>
            <w:r>
              <w:t>BERT with BIO</w:t>
            </w:r>
          </w:p>
        </w:tc>
        <w:tc>
          <w:tcPr>
            <w:tcW w:w="3227" w:type="dxa"/>
          </w:tcPr>
          <w:p w14:paraId="4188D693" w14:textId="77777777" w:rsidR="00032559" w:rsidRDefault="00032559" w:rsidP="0004797D">
            <w:pPr>
              <w:spacing w:line="276" w:lineRule="auto"/>
            </w:pPr>
          </w:p>
        </w:tc>
        <w:tc>
          <w:tcPr>
            <w:tcW w:w="2928" w:type="dxa"/>
          </w:tcPr>
          <w:p w14:paraId="7716A8E6" w14:textId="77777777" w:rsidR="00032559" w:rsidRDefault="00032559" w:rsidP="0004797D">
            <w:pPr>
              <w:spacing w:line="276" w:lineRule="auto"/>
            </w:pPr>
          </w:p>
        </w:tc>
      </w:tr>
      <w:tr w:rsidR="00032559" w14:paraId="050E8E6B" w14:textId="3B5A7485" w:rsidTr="00032559">
        <w:tc>
          <w:tcPr>
            <w:tcW w:w="3195" w:type="dxa"/>
          </w:tcPr>
          <w:p w14:paraId="33A11AD6" w14:textId="6BFBB1F6" w:rsidR="00032559" w:rsidRDefault="00032559" w:rsidP="0004797D">
            <w:pPr>
              <w:spacing w:line="276" w:lineRule="auto"/>
            </w:pPr>
            <w:r>
              <w:t>BERT with IO</w:t>
            </w:r>
          </w:p>
        </w:tc>
        <w:tc>
          <w:tcPr>
            <w:tcW w:w="3227" w:type="dxa"/>
          </w:tcPr>
          <w:p w14:paraId="468F5DCE" w14:textId="77777777" w:rsidR="00032559" w:rsidRDefault="00032559" w:rsidP="0004797D">
            <w:pPr>
              <w:spacing w:line="276" w:lineRule="auto"/>
            </w:pPr>
          </w:p>
        </w:tc>
        <w:tc>
          <w:tcPr>
            <w:tcW w:w="2928" w:type="dxa"/>
          </w:tcPr>
          <w:p w14:paraId="1834DAA0" w14:textId="77777777" w:rsidR="00032559" w:rsidRDefault="00032559" w:rsidP="0004797D">
            <w:pPr>
              <w:spacing w:line="276" w:lineRule="auto"/>
            </w:pPr>
          </w:p>
        </w:tc>
      </w:tr>
      <w:tr w:rsidR="00032559" w14:paraId="57837C55" w14:textId="3EB3EA77" w:rsidTr="00032559">
        <w:tc>
          <w:tcPr>
            <w:tcW w:w="3195" w:type="dxa"/>
          </w:tcPr>
          <w:p w14:paraId="73092E72" w14:textId="38819760" w:rsidR="00032559" w:rsidRDefault="00032559" w:rsidP="0004797D">
            <w:pPr>
              <w:spacing w:line="276" w:lineRule="auto"/>
            </w:pPr>
            <w:r>
              <w:t>Gemini few-shot</w:t>
            </w:r>
          </w:p>
        </w:tc>
        <w:tc>
          <w:tcPr>
            <w:tcW w:w="3227" w:type="dxa"/>
          </w:tcPr>
          <w:p w14:paraId="4247CCAA" w14:textId="77777777" w:rsidR="00032559" w:rsidRDefault="00032559" w:rsidP="0004797D">
            <w:pPr>
              <w:spacing w:line="276" w:lineRule="auto"/>
            </w:pPr>
          </w:p>
        </w:tc>
        <w:tc>
          <w:tcPr>
            <w:tcW w:w="2928" w:type="dxa"/>
          </w:tcPr>
          <w:p w14:paraId="1736B5DE" w14:textId="77777777" w:rsidR="00032559" w:rsidRDefault="00032559" w:rsidP="0004797D">
            <w:pPr>
              <w:spacing w:line="276" w:lineRule="auto"/>
            </w:pPr>
          </w:p>
        </w:tc>
      </w:tr>
      <w:tr w:rsidR="00032559" w14:paraId="12B63410" w14:textId="28EBC8F0" w:rsidTr="00032559">
        <w:tc>
          <w:tcPr>
            <w:tcW w:w="3195" w:type="dxa"/>
          </w:tcPr>
          <w:p w14:paraId="6A45BC44" w14:textId="6718A1AD" w:rsidR="00032559" w:rsidRDefault="00032559" w:rsidP="0004797D">
            <w:pPr>
              <w:spacing w:line="276" w:lineRule="auto"/>
            </w:pPr>
            <w:r>
              <w:t>Gemini zero-shot</w:t>
            </w:r>
          </w:p>
        </w:tc>
        <w:tc>
          <w:tcPr>
            <w:tcW w:w="3227" w:type="dxa"/>
          </w:tcPr>
          <w:p w14:paraId="1054726B" w14:textId="77777777" w:rsidR="00032559" w:rsidRDefault="00032559" w:rsidP="0004797D">
            <w:pPr>
              <w:spacing w:line="276" w:lineRule="auto"/>
            </w:pPr>
          </w:p>
        </w:tc>
        <w:tc>
          <w:tcPr>
            <w:tcW w:w="2928" w:type="dxa"/>
          </w:tcPr>
          <w:p w14:paraId="78885702" w14:textId="77777777" w:rsidR="00032559" w:rsidRDefault="00032559" w:rsidP="0004797D">
            <w:pPr>
              <w:spacing w:line="276" w:lineRule="auto"/>
            </w:pPr>
          </w:p>
        </w:tc>
      </w:tr>
    </w:tbl>
    <w:p w14:paraId="1C8F11EE" w14:textId="77777777" w:rsidR="00032559" w:rsidRDefault="00032559" w:rsidP="0004797D">
      <w:pPr>
        <w:spacing w:line="276" w:lineRule="auto"/>
      </w:pPr>
    </w:p>
    <w:p w14:paraId="690F55B4" w14:textId="77777777" w:rsidR="00032559" w:rsidRDefault="00032559" w:rsidP="0004797D">
      <w:pPr>
        <w:spacing w:line="276" w:lineRule="auto"/>
      </w:pPr>
    </w:p>
    <w:p w14:paraId="0EA35764" w14:textId="37AFA9BC" w:rsidR="006F5157" w:rsidRDefault="006F5157" w:rsidP="0004797D">
      <w:pPr>
        <w:spacing w:line="276" w:lineRule="auto"/>
        <w:rPr>
          <w:sz w:val="36"/>
          <w:szCs w:val="36"/>
          <w:u w:val="single"/>
        </w:rPr>
      </w:pPr>
      <w:r>
        <w:rPr>
          <w:sz w:val="36"/>
          <w:szCs w:val="36"/>
          <w:u w:val="single"/>
        </w:rPr>
        <w:lastRenderedPageBreak/>
        <w:t>Inference</w:t>
      </w:r>
    </w:p>
    <w:p w14:paraId="2F34D1EC" w14:textId="291B1CC5" w:rsidR="00032559" w:rsidRDefault="00032559" w:rsidP="006F5157">
      <w:pPr>
        <w:spacing w:line="276" w:lineRule="auto"/>
      </w:pPr>
      <w:r>
        <w:t>Since Gemini few-shot was proven as the best-performing model, it was used for inference on the rest of the thesis archive. The same prompt with training samples was put in a loop, where the text of each of the remaining __ theses were used as the inference text (the predictions from each run was not added to the context of the next one).</w:t>
      </w:r>
    </w:p>
    <w:p w14:paraId="4FB15583" w14:textId="349C1999" w:rsidR="007716FC" w:rsidRDefault="00032559" w:rsidP="00032559">
      <w:pPr>
        <w:spacing w:line="276" w:lineRule="auto"/>
      </w:pPr>
      <w:r>
        <w:t>The inference results of this model form the pool of entities for each thesis that can now be used for entity linking. There were x overall entities, with the following distributions.</w:t>
      </w:r>
    </w:p>
    <w:p w14:paraId="638EDAD9" w14:textId="77777777" w:rsidR="007716FC" w:rsidRDefault="007716FC">
      <w:pPr>
        <w:jc w:val="left"/>
      </w:pPr>
      <w:r>
        <w:br w:type="page"/>
      </w:r>
    </w:p>
    <w:p w14:paraId="260F50D1" w14:textId="426403C7" w:rsidR="006F5157" w:rsidRDefault="007716FC" w:rsidP="00032559">
      <w:pPr>
        <w:spacing w:line="276" w:lineRule="auto"/>
        <w:rPr>
          <w:sz w:val="36"/>
          <w:szCs w:val="36"/>
          <w:u w:val="single"/>
        </w:rPr>
      </w:pPr>
      <w:r>
        <w:rPr>
          <w:sz w:val="36"/>
          <w:szCs w:val="36"/>
          <w:u w:val="single"/>
        </w:rPr>
        <w:lastRenderedPageBreak/>
        <w:t>Appendix: Gemini-3-flash prompts</w:t>
      </w:r>
    </w:p>
    <w:p w14:paraId="04CECA65" w14:textId="10CCF016" w:rsidR="007716FC" w:rsidRDefault="007716FC" w:rsidP="00032559">
      <w:pPr>
        <w:spacing w:line="276" w:lineRule="auto"/>
      </w:pPr>
      <w:r>
        <w:t>Few-shot prompt:</w:t>
      </w:r>
    </w:p>
    <w:p w14:paraId="245DB032" w14:textId="31B0D140"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Named Entity Recognition task in Dutch.</w:t>
      </w:r>
    </w:p>
    <w:p w14:paraId="393D2516"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31C6F96C" w14:textId="185F0A8B"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Below are</w:t>
      </w:r>
      <w:r>
        <w:rPr>
          <w:rFonts w:ascii="Consolas" w:eastAsia="Times New Roman" w:hAnsi="Consolas" w:cs="Times New Roman"/>
          <w:color w:val="448C27"/>
          <w:kern w:val="0"/>
          <w:sz w:val="21"/>
          <w:szCs w:val="21"/>
          <w:lang w:eastAsia="nl-NL"/>
          <w14:ligatures w14:val="none"/>
        </w:rPr>
        <w:t xml:space="preserve"> 2</w:t>
      </w:r>
      <w:r w:rsidRPr="007716FC">
        <w:rPr>
          <w:rFonts w:ascii="Consolas" w:eastAsia="Times New Roman" w:hAnsi="Consolas" w:cs="Times New Roman"/>
          <w:color w:val="448C27"/>
          <w:kern w:val="0"/>
          <w:sz w:val="21"/>
          <w:szCs w:val="21"/>
          <w:lang w:eastAsia="nl-NL"/>
          <w14:ligatures w14:val="none"/>
        </w:rPr>
        <w:t xml:space="preserve"> examples showing the text of human-geography theses. Each word in the thesis is labeled as a title (Title of the thesis),</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author(Author of the thesis), issued (Time of publication), spatial (The spatial extent, study area or spatial coverage of the entire thesis, given as placenames or place descriptions),</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 xml:space="preserve">subject (Concept that is the main subject of the thesis), </w:t>
      </w:r>
      <w:proofErr w:type="spellStart"/>
      <w:r w:rsidRPr="007716FC">
        <w:rPr>
          <w:rFonts w:ascii="Consolas" w:eastAsia="Times New Roman" w:hAnsi="Consolas" w:cs="Times New Roman"/>
          <w:color w:val="448C27"/>
          <w:kern w:val="0"/>
          <w:sz w:val="21"/>
          <w:szCs w:val="21"/>
          <w:lang w:eastAsia="nl-NL"/>
          <w14:ligatures w14:val="none"/>
        </w:rPr>
        <w:t>inGroup</w:t>
      </w:r>
      <w:proofErr w:type="spellEnd"/>
      <w:r w:rsidRPr="007716FC">
        <w:rPr>
          <w:rFonts w:ascii="Consolas" w:eastAsia="Times New Roman" w:hAnsi="Consolas" w:cs="Times New Roman"/>
          <w:color w:val="448C27"/>
          <w:kern w:val="0"/>
          <w:sz w:val="21"/>
          <w:szCs w:val="21"/>
          <w:lang w:eastAsia="nl-NL"/>
          <w14:ligatures w14:val="none"/>
        </w:rPr>
        <w:t xml:space="preserve"> (the group of persons studied), or as O (empty label). Non-empty labeled can start with a B- to indicate the beginning of an entity span,</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 xml:space="preserve">or as I- to indicate the inside of an entity span. After reading the examples, </w:t>
      </w:r>
      <w:r>
        <w:rPr>
          <w:rFonts w:ascii="Consolas" w:eastAsia="Times New Roman" w:hAnsi="Consolas" w:cs="Times New Roman"/>
          <w:color w:val="448C27"/>
          <w:kern w:val="0"/>
          <w:sz w:val="21"/>
          <w:szCs w:val="21"/>
          <w:lang w:eastAsia="nl-NL"/>
          <w14:ligatures w14:val="none"/>
        </w:rPr>
        <w:t>extract</w:t>
      </w:r>
      <w:r w:rsidRPr="007716FC">
        <w:rPr>
          <w:rFonts w:ascii="Consolas" w:eastAsia="Times New Roman" w:hAnsi="Consolas" w:cs="Times New Roman"/>
          <w:color w:val="448C27"/>
          <w:kern w:val="0"/>
          <w:sz w:val="21"/>
          <w:szCs w:val="21"/>
          <w:lang w:eastAsia="nl-NL"/>
          <w14:ligatures w14:val="none"/>
        </w:rPr>
        <w:t xml:space="preserve"> the tags from the new thesis text, and return it as a JSON, where each key is a label and each value is a list of entities that have that label.</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Only extract entities that are in the text. Follow the annotation rules.</w:t>
      </w:r>
    </w:p>
    <w:p w14:paraId="395B6892"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
    <w:p w14:paraId="02C775B2" w14:textId="4F94E42B"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Annotation rules:</w:t>
      </w:r>
    </w:p>
    <w:p w14:paraId="38FADA2C"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0A909FC8" w14:textId="1E021473"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Don’t tag exhaustively, but only the first 5 mentions (e.g. a particular place, or a particular method) of any given concept in those sections that should be searched </w:t>
      </w:r>
    </w:p>
    <w:p w14:paraId="694E854F" w14:textId="50D7368D"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Restrict search to particular sections: Don’t use TOC, no prefaces. Focus on the main sections (introduction/method/conclusion). Avoid using sections literature review, background, results, or TOC or literature list</w:t>
      </w:r>
    </w:p>
    <w:p w14:paraId="045D16BF" w14:textId="6B549098"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If several different concepts are mentioned in a sentence, annotate them separately</w:t>
      </w:r>
    </w:p>
    <w:p w14:paraId="023E5836" w14:textId="263BFB1A"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roofErr w:type="spellStart"/>
      <w:r w:rsidRPr="007716FC">
        <w:rPr>
          <w:rFonts w:ascii="Consolas" w:eastAsia="Times New Roman" w:hAnsi="Consolas" w:cs="Times New Roman"/>
          <w:color w:val="448C27"/>
          <w:kern w:val="0"/>
          <w:sz w:val="21"/>
          <w:szCs w:val="21"/>
          <w:lang w:eastAsia="nl-NL"/>
          <w14:ligatures w14:val="none"/>
        </w:rPr>
        <w:t>inGroup</w:t>
      </w:r>
      <w:proofErr w:type="spellEnd"/>
      <w:r w:rsidRPr="007716FC">
        <w:rPr>
          <w:rFonts w:ascii="Consolas" w:eastAsia="Times New Roman" w:hAnsi="Consolas" w:cs="Times New Roman"/>
          <w:color w:val="448C27"/>
          <w:kern w:val="0"/>
          <w:sz w:val="21"/>
          <w:szCs w:val="21"/>
          <w:lang w:eastAsia="nl-NL"/>
          <w14:ligatures w14:val="none"/>
        </w:rPr>
        <w:t>: should be specific for the research design</w:t>
      </w:r>
    </w:p>
    <w:p w14:paraId="2CCAB349" w14:textId="661CCCDD"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Subject: Leave out subjects unless there is explicitly a conceptual model (key-concepts)</w:t>
      </w:r>
    </w:p>
    <w:p w14:paraId="774CBCAD" w14:textId="79EC31DE"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Spatial: the largest extent of the research area related to a goal/question. Any spatial level that links to a different research goal can appear separately. In case there is no placename available for this, encode the information on most specific level that is there (“plein in Amersfoort”).</w:t>
      </w:r>
    </w:p>
    <w:p w14:paraId="55EF42CA"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
    <w:p w14:paraId="56E228A8" w14:textId="75420DF4"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Examples:</w:t>
      </w:r>
    </w:p>
    <w:p w14:paraId="594AF536" w14:textId="77777777"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p>
    <w:p w14:paraId="4C99F466" w14:textId="7825FA85"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r>
        <w:rPr>
          <w:rFonts w:ascii="Consolas" w:eastAsia="Times New Roman" w:hAnsi="Consolas" w:cs="Times New Roman"/>
          <w:color w:val="448C27"/>
          <w:kern w:val="0"/>
          <w:sz w:val="21"/>
          <w:szCs w:val="21"/>
          <w:lang w:eastAsia="nl-NL"/>
          <w14:ligatures w14:val="none"/>
        </w:rPr>
        <w:t>Example 1:</w:t>
      </w:r>
    </w:p>
    <w:p w14:paraId="3F137CF6" w14:textId="5A2515B4"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[Text of training thesis 1]</w:t>
      </w:r>
    </w:p>
    <w:p w14:paraId="73586C81" w14:textId="77777777"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p>
    <w:p w14:paraId="2A61FB4B" w14:textId="388984B3"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r>
        <w:rPr>
          <w:rFonts w:ascii="Consolas" w:eastAsia="Times New Roman" w:hAnsi="Consolas" w:cs="Times New Roman"/>
          <w:color w:val="448C27"/>
          <w:kern w:val="0"/>
          <w:sz w:val="21"/>
          <w:szCs w:val="21"/>
          <w:lang w:eastAsia="nl-NL"/>
          <w14:ligatures w14:val="none"/>
        </w:rPr>
        <w:t>Example 2:</w:t>
      </w:r>
    </w:p>
    <w:p w14:paraId="1C549A14" w14:textId="77777777"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p>
    <w:p w14:paraId="4086CD99" w14:textId="4EE33359"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[Text of training thesis 2]</w:t>
      </w:r>
    </w:p>
    <w:p w14:paraId="2529A51B" w14:textId="61260F46"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49AFCB7C"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781E233E" w14:textId="5B3DE0AB"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Please annotated the following student thesis:</w:t>
      </w:r>
    </w:p>
    <w:p w14:paraId="373B0180"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7EBA9955" w14:textId="5A47925A"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 xml:space="preserve">[Text of </w:t>
      </w:r>
      <w:r>
        <w:rPr>
          <w:rFonts w:ascii="Consolas" w:eastAsia="Times New Roman" w:hAnsi="Consolas" w:cs="Times New Roman"/>
          <w:color w:val="747474" w:themeColor="background2" w:themeShade="80"/>
          <w:kern w:val="0"/>
          <w:sz w:val="21"/>
          <w:szCs w:val="21"/>
          <w:lang w:eastAsia="nl-NL"/>
          <w14:ligatures w14:val="none"/>
        </w:rPr>
        <w:t>Evaluation thesis</w:t>
      </w:r>
      <w:r w:rsidRPr="007716FC">
        <w:rPr>
          <w:rFonts w:ascii="Consolas" w:eastAsia="Times New Roman" w:hAnsi="Consolas" w:cs="Times New Roman"/>
          <w:color w:val="747474" w:themeColor="background2" w:themeShade="80"/>
          <w:kern w:val="0"/>
          <w:sz w:val="21"/>
          <w:szCs w:val="21"/>
          <w:lang w:eastAsia="nl-NL"/>
          <w14:ligatures w14:val="none"/>
        </w:rPr>
        <w:t>]</w:t>
      </w:r>
    </w:p>
    <w:p w14:paraId="6461FC3D"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1E16A3C7" w14:textId="219AA996"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w:t>
      </w:r>
    </w:p>
    <w:p w14:paraId="61AF546C" w14:textId="77777777" w:rsidR="007716FC" w:rsidRDefault="007716FC" w:rsidP="00032559">
      <w:pPr>
        <w:spacing w:line="276" w:lineRule="auto"/>
      </w:pPr>
    </w:p>
    <w:p w14:paraId="16E91DAF" w14:textId="77777777" w:rsidR="007716FC" w:rsidRDefault="007716FC" w:rsidP="00032559">
      <w:pPr>
        <w:spacing w:line="276" w:lineRule="auto"/>
      </w:pPr>
    </w:p>
    <w:p w14:paraId="7CC5A061" w14:textId="113001A6" w:rsidR="007716FC" w:rsidRDefault="007716FC" w:rsidP="00032559">
      <w:pPr>
        <w:spacing w:line="276" w:lineRule="auto"/>
      </w:pPr>
      <w:r>
        <w:t>Zero-shot prompt:</w:t>
      </w:r>
    </w:p>
    <w:p w14:paraId="2CF5F103"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Named Entity Recognition task in Dutch.</w:t>
      </w:r>
    </w:p>
    <w:p w14:paraId="722BBF8D"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52BC3E93" w14:textId="4CD80B69"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Label each word in this human-geography thesis as a title (Title of the thesis), author(Author of the thesis), issued (Time of publication), spatial (The spatial extent, study area or spatial coverage of the entire thesis, given as placenames or place descriptions),</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 xml:space="preserve">subject (Concept that is the main subject of the thesis), </w:t>
      </w:r>
      <w:proofErr w:type="spellStart"/>
      <w:r w:rsidRPr="007716FC">
        <w:rPr>
          <w:rFonts w:ascii="Consolas" w:eastAsia="Times New Roman" w:hAnsi="Consolas" w:cs="Times New Roman"/>
          <w:color w:val="448C27"/>
          <w:kern w:val="0"/>
          <w:sz w:val="21"/>
          <w:szCs w:val="21"/>
          <w:lang w:eastAsia="nl-NL"/>
          <w14:ligatures w14:val="none"/>
        </w:rPr>
        <w:t>inGroup</w:t>
      </w:r>
      <w:proofErr w:type="spellEnd"/>
      <w:r w:rsidRPr="007716FC">
        <w:rPr>
          <w:rFonts w:ascii="Consolas" w:eastAsia="Times New Roman" w:hAnsi="Consolas" w:cs="Times New Roman"/>
          <w:color w:val="448C27"/>
          <w:kern w:val="0"/>
          <w:sz w:val="21"/>
          <w:szCs w:val="21"/>
          <w:lang w:eastAsia="nl-NL"/>
          <w14:ligatures w14:val="none"/>
        </w:rPr>
        <w:t xml:space="preserve"> (the group of persons studied), or as O (empty label). Return it as a JSON, where each key is a label and each value is a list of entities that have that label.</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Only extract entities that are in the text. Follow the annotation rules.</w:t>
      </w:r>
    </w:p>
    <w:p w14:paraId="77E7C560"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
    <w:p w14:paraId="118BE59F"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Annotation rules:</w:t>
      </w:r>
    </w:p>
    <w:p w14:paraId="3EF4AE0C"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4BC5DF6B"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Don’t tag exhaustively, but only the first 5 mentions (e.g. a particular place, or a particular method) of any given concept in those sections that should be searched </w:t>
      </w:r>
    </w:p>
    <w:p w14:paraId="0118FCA4"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Restrict search to particular sections: Don’t use TOC, no prefaces. Focus on the main sections (introduction/method/conclusion). Avoid using sections literature review, background, results, or TOC or literature list</w:t>
      </w:r>
    </w:p>
    <w:p w14:paraId="36A0E137"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If several different concepts are mentioned in a sentence, annotate them separately</w:t>
      </w:r>
    </w:p>
    <w:p w14:paraId="54ECD951"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roofErr w:type="spellStart"/>
      <w:r w:rsidRPr="007716FC">
        <w:rPr>
          <w:rFonts w:ascii="Consolas" w:eastAsia="Times New Roman" w:hAnsi="Consolas" w:cs="Times New Roman"/>
          <w:color w:val="448C27"/>
          <w:kern w:val="0"/>
          <w:sz w:val="21"/>
          <w:szCs w:val="21"/>
          <w:lang w:eastAsia="nl-NL"/>
          <w14:ligatures w14:val="none"/>
        </w:rPr>
        <w:t>inGroup</w:t>
      </w:r>
      <w:proofErr w:type="spellEnd"/>
      <w:r w:rsidRPr="007716FC">
        <w:rPr>
          <w:rFonts w:ascii="Consolas" w:eastAsia="Times New Roman" w:hAnsi="Consolas" w:cs="Times New Roman"/>
          <w:color w:val="448C27"/>
          <w:kern w:val="0"/>
          <w:sz w:val="21"/>
          <w:szCs w:val="21"/>
          <w:lang w:eastAsia="nl-NL"/>
          <w14:ligatures w14:val="none"/>
        </w:rPr>
        <w:t>: should be specific for the research design</w:t>
      </w:r>
    </w:p>
    <w:p w14:paraId="1D59D1AB"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Subject: Leave out subjects unless there is explicitly a conceptual model (key-concepts)</w:t>
      </w:r>
    </w:p>
    <w:p w14:paraId="19CD4D6A"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Spatial: the largest extent of the research area related to a goal/question. Any spatial level that links to a different research goal can appear separately. In case there is no placename available for this, encode the information on most specific level that is there (“plein in Amersfoort”).</w:t>
      </w:r>
    </w:p>
    <w:p w14:paraId="66253873"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3CF39122"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Please annotated the following student thesis:</w:t>
      </w:r>
    </w:p>
    <w:p w14:paraId="67139AC5"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7625541A"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 xml:space="preserve">[Text of </w:t>
      </w:r>
      <w:r>
        <w:rPr>
          <w:rFonts w:ascii="Consolas" w:eastAsia="Times New Roman" w:hAnsi="Consolas" w:cs="Times New Roman"/>
          <w:color w:val="747474" w:themeColor="background2" w:themeShade="80"/>
          <w:kern w:val="0"/>
          <w:sz w:val="21"/>
          <w:szCs w:val="21"/>
          <w:lang w:eastAsia="nl-NL"/>
          <w14:ligatures w14:val="none"/>
        </w:rPr>
        <w:t>Evaluation thesis</w:t>
      </w:r>
      <w:r w:rsidRPr="007716FC">
        <w:rPr>
          <w:rFonts w:ascii="Consolas" w:eastAsia="Times New Roman" w:hAnsi="Consolas" w:cs="Times New Roman"/>
          <w:color w:val="747474" w:themeColor="background2" w:themeShade="80"/>
          <w:kern w:val="0"/>
          <w:sz w:val="21"/>
          <w:szCs w:val="21"/>
          <w:lang w:eastAsia="nl-NL"/>
          <w14:ligatures w14:val="none"/>
        </w:rPr>
        <w:t>]</w:t>
      </w:r>
    </w:p>
    <w:p w14:paraId="11184FCD"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00215E7C" w14:textId="173A8CF8"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w:t>
      </w:r>
    </w:p>
    <w:sectPr w:rsidR="007716FC" w:rsidRPr="007716F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uchard, O. (Carmel)" w:date="2026-01-21T18:43:00Z" w:initials="CS">
    <w:p w14:paraId="484449FD" w14:textId="77777777" w:rsidR="00C822A0" w:rsidRDefault="00C822A0" w:rsidP="00C822A0">
      <w:pPr>
        <w:pStyle w:val="CommentText"/>
        <w:jc w:val="left"/>
      </w:pPr>
      <w:r>
        <w:rPr>
          <w:rStyle w:val="CommentReference"/>
        </w:rPr>
        <w:annotationRef/>
      </w:r>
      <w:r>
        <w:t>(and its part of the metrics of it?)</w:t>
      </w:r>
    </w:p>
  </w:comment>
  <w:comment w:id="0" w:author="Suchard, O. (Carmel)" w:date="2026-01-21T20:01:00Z" w:initials="CS">
    <w:p w14:paraId="095E6E7E" w14:textId="77777777" w:rsidR="0008691E" w:rsidRDefault="0008691E" w:rsidP="0008691E">
      <w:pPr>
        <w:pStyle w:val="CommentText"/>
        <w:jc w:val="left"/>
      </w:pPr>
      <w:r>
        <w:rPr>
          <w:rStyle w:val="CommentReference"/>
        </w:rPr>
        <w:annotationRef/>
      </w:r>
      <w:r>
        <w:t>I could do a better job here from the literature, about why each one might be better than the other. Chat GPT cays:</w:t>
      </w:r>
      <w:r>
        <w:br/>
      </w:r>
      <w:r>
        <w:br/>
      </w:r>
      <w:r>
        <w:rPr>
          <w:b/>
          <w:bCs/>
        </w:rPr>
        <w:t xml:space="preserve">. Why Gemini is </w:t>
      </w:r>
      <w:r>
        <w:rPr>
          <w:b/>
          <w:bCs/>
          <w:i/>
          <w:iCs/>
        </w:rPr>
        <w:t>not</w:t>
      </w:r>
      <w:r>
        <w:rPr>
          <w:b/>
          <w:bCs/>
        </w:rPr>
        <w:t xml:space="preserve"> better at this by default</w:t>
      </w:r>
    </w:p>
    <w:p w14:paraId="06C19E79" w14:textId="77777777" w:rsidR="0008691E" w:rsidRDefault="0008691E" w:rsidP="0008691E">
      <w:pPr>
        <w:pStyle w:val="CommentText"/>
        <w:jc w:val="left"/>
      </w:pPr>
      <w:r>
        <w:t>Gemini:</w:t>
      </w:r>
    </w:p>
    <w:p w14:paraId="4CE936C0" w14:textId="77777777" w:rsidR="0008691E" w:rsidRDefault="0008691E" w:rsidP="0008691E">
      <w:pPr>
        <w:pStyle w:val="CommentText"/>
        <w:numPr>
          <w:ilvl w:val="0"/>
          <w:numId w:val="1"/>
        </w:numPr>
        <w:ind w:left="360"/>
        <w:jc w:val="left"/>
      </w:pPr>
      <w:r>
        <w:t xml:space="preserve">Is optimized for </w:t>
      </w:r>
      <w:r>
        <w:rPr>
          <w:b/>
          <w:bCs/>
        </w:rPr>
        <w:t>next-token prediction</w:t>
      </w:r>
    </w:p>
    <w:p w14:paraId="29E63B15" w14:textId="77777777" w:rsidR="0008691E" w:rsidRDefault="0008691E" w:rsidP="0008691E">
      <w:pPr>
        <w:pStyle w:val="CommentText"/>
        <w:numPr>
          <w:ilvl w:val="0"/>
          <w:numId w:val="1"/>
        </w:numPr>
        <w:jc w:val="left"/>
      </w:pPr>
      <w:r>
        <w:t>Produces contextual states tied to generation</w:t>
      </w:r>
    </w:p>
    <w:p w14:paraId="00754FD4" w14:textId="77777777" w:rsidR="0008691E" w:rsidRDefault="0008691E" w:rsidP="0008691E">
      <w:pPr>
        <w:pStyle w:val="CommentText"/>
        <w:numPr>
          <w:ilvl w:val="0"/>
          <w:numId w:val="1"/>
        </w:numPr>
        <w:jc w:val="left"/>
      </w:pPr>
      <w:r>
        <w:t>Does not naturally yield stable sentence embeddings</w:t>
      </w:r>
    </w:p>
    <w:p w14:paraId="2F841829" w14:textId="77777777" w:rsidR="0008691E" w:rsidRDefault="0008691E" w:rsidP="0008691E">
      <w:pPr>
        <w:pStyle w:val="CommentText"/>
        <w:jc w:val="left"/>
      </w:pPr>
      <w:r>
        <w:t xml:space="preserve">You </w:t>
      </w:r>
      <w:r>
        <w:rPr>
          <w:i/>
          <w:iCs/>
        </w:rPr>
        <w:t>can</w:t>
      </w:r>
      <w:r>
        <w:t xml:space="preserve"> extract embeddings, but:</w:t>
      </w:r>
    </w:p>
    <w:p w14:paraId="799FB3CF" w14:textId="77777777" w:rsidR="0008691E" w:rsidRDefault="0008691E" w:rsidP="0008691E">
      <w:pPr>
        <w:pStyle w:val="CommentText"/>
        <w:numPr>
          <w:ilvl w:val="0"/>
          <w:numId w:val="2"/>
        </w:numPr>
        <w:jc w:val="left"/>
      </w:pPr>
      <w:r>
        <w:t>They are not isotropic</w:t>
      </w:r>
    </w:p>
    <w:p w14:paraId="7EC20C83" w14:textId="77777777" w:rsidR="0008691E" w:rsidRDefault="0008691E" w:rsidP="0008691E">
      <w:pPr>
        <w:pStyle w:val="CommentText"/>
        <w:numPr>
          <w:ilvl w:val="0"/>
          <w:numId w:val="2"/>
        </w:numPr>
        <w:jc w:val="left"/>
      </w:pPr>
      <w:r>
        <w:t>Not trained for metric similarity</w:t>
      </w:r>
    </w:p>
    <w:p w14:paraId="580196BD" w14:textId="77777777" w:rsidR="0008691E" w:rsidRDefault="0008691E" w:rsidP="0008691E">
      <w:pPr>
        <w:pStyle w:val="CommentText"/>
        <w:numPr>
          <w:ilvl w:val="0"/>
          <w:numId w:val="2"/>
        </w:numPr>
        <w:jc w:val="left"/>
      </w:pPr>
      <w:r>
        <w:t>Inferior for large-scale semantic search</w:t>
      </w:r>
    </w:p>
  </w:comment>
  <w:comment w:id="2" w:author="Suchard, O. (Carmel)" w:date="2026-01-20T10:46:00Z" w:initials="CS">
    <w:p w14:paraId="2F5A8F19" w14:textId="77777777" w:rsidR="00EF538F" w:rsidRDefault="00EF538F">
      <w:pPr>
        <w:pStyle w:val="CommentText"/>
        <w:jc w:val="left"/>
      </w:pPr>
      <w:r>
        <w:rPr>
          <w:rStyle w:val="CommentReference"/>
        </w:rPr>
        <w:annotationRef/>
      </w:r>
      <w:r>
        <w:t>Rewrite this, with my own explanation of what BERT Is generally</w:t>
      </w:r>
    </w:p>
  </w:comment>
  <w:comment w:id="3" w:author="Suchard, O. (Carmel)" w:date="2026-01-20T15:55:00Z" w:initials="CS">
    <w:p w14:paraId="0D4920BE" w14:textId="77777777" w:rsidR="007E72D3" w:rsidRDefault="007E72D3">
      <w:pPr>
        <w:pStyle w:val="CommentText"/>
        <w:jc w:val="left"/>
      </w:pPr>
      <w:r>
        <w:rPr>
          <w:rStyle w:val="CommentReference"/>
        </w:rPr>
        <w:annotationRef/>
      </w:r>
      <w:r>
        <w:t xml:space="preserve"> [I just need to figure out first whether I can alctually put the same number of training examples in to Gemini].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84449FD" w15:done="0"/>
  <w15:commentEx w15:paraId="580196BD" w15:done="0"/>
  <w15:commentEx w15:paraId="2F5A8F19" w15:done="0"/>
  <w15:commentEx w15:paraId="0D4920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D9C9A5A" w16cex:dateUtc="2026-01-21T17:43:00Z"/>
  <w16cex:commentExtensible w16cex:durableId="7C3B3547" w16cex:dateUtc="2026-01-21T19:01:00Z"/>
  <w16cex:commentExtensible w16cex:durableId="38F48C2C" w16cex:dateUtc="2026-01-20T09:46:00Z"/>
  <w16cex:commentExtensible w16cex:durableId="702F4C66" w16cex:dateUtc="2026-01-20T14: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84449FD" w16cid:durableId="2D9C9A5A"/>
  <w16cid:commentId w16cid:paraId="580196BD" w16cid:durableId="7C3B3547"/>
  <w16cid:commentId w16cid:paraId="2F5A8F19" w16cid:durableId="38F48C2C"/>
  <w16cid:commentId w16cid:paraId="0D4920BE" w16cid:durableId="702F4C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6FD084" w14:textId="77777777" w:rsidR="00986947" w:rsidRDefault="00986947" w:rsidP="00EF538F">
      <w:pPr>
        <w:spacing w:after="0" w:line="240" w:lineRule="auto"/>
      </w:pPr>
      <w:r>
        <w:separator/>
      </w:r>
    </w:p>
  </w:endnote>
  <w:endnote w:type="continuationSeparator" w:id="0">
    <w:p w14:paraId="0DD20A9C" w14:textId="77777777" w:rsidR="00986947" w:rsidRDefault="00986947" w:rsidP="00EF5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DAC541" w14:textId="77777777" w:rsidR="00986947" w:rsidRDefault="00986947" w:rsidP="00EF538F">
      <w:pPr>
        <w:spacing w:after="0" w:line="240" w:lineRule="auto"/>
      </w:pPr>
      <w:r>
        <w:separator/>
      </w:r>
    </w:p>
  </w:footnote>
  <w:footnote w:type="continuationSeparator" w:id="0">
    <w:p w14:paraId="3AC7C943" w14:textId="77777777" w:rsidR="00986947" w:rsidRDefault="00986947" w:rsidP="00EF538F">
      <w:pPr>
        <w:spacing w:after="0" w:line="240" w:lineRule="auto"/>
      </w:pPr>
      <w:r>
        <w:continuationSeparator/>
      </w:r>
    </w:p>
  </w:footnote>
  <w:footnote w:id="1">
    <w:p w14:paraId="48AED0B6" w14:textId="77777777" w:rsidR="007E72D3" w:rsidRDefault="007E72D3" w:rsidP="007E72D3">
      <w:pPr>
        <w:pStyle w:val="FootnoteText"/>
      </w:pPr>
      <w:r>
        <w:rPr>
          <w:rStyle w:val="FootnoteReference"/>
        </w:rPr>
        <w:footnoteRef/>
      </w:r>
      <w:r>
        <w:t xml:space="preserve"> </w:t>
      </w:r>
      <w:r w:rsidRPr="001D0978">
        <w:t>https://huggingface.co/GroNLP/bert-base-dutch-cased</w:t>
      </w:r>
    </w:p>
  </w:footnote>
  <w:footnote w:id="2">
    <w:p w14:paraId="59A63B5A" w14:textId="77777777" w:rsidR="008074E2" w:rsidRDefault="008074E2"/>
    <w:p w14:paraId="4979D57E" w14:textId="6731F3CF" w:rsidR="007E72D3" w:rsidRDefault="007E72D3" w:rsidP="007E72D3">
      <w:pPr>
        <w:pStyle w:val="FootnoteText"/>
      </w:pPr>
    </w:p>
  </w:footnote>
  <w:footnote w:id="3">
    <w:p w14:paraId="634BAB9A" w14:textId="77777777" w:rsidR="00051024" w:rsidRDefault="00051024" w:rsidP="00051024">
      <w:pPr>
        <w:pStyle w:val="FootnoteText"/>
      </w:pPr>
      <w:r>
        <w:rPr>
          <w:rStyle w:val="FootnoteReference"/>
        </w:rPr>
        <w:footnoteRef/>
      </w:r>
      <w:r>
        <w:t xml:space="preserve"> </w:t>
      </w:r>
      <w:r w:rsidRPr="0007590A">
        <w:t>https://ai.google.dev/gemini-api/docs/prompting-strategies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DE38C8"/>
    <w:multiLevelType w:val="hybridMultilevel"/>
    <w:tmpl w:val="430C7950"/>
    <w:lvl w:ilvl="0" w:tplc="73A2A650">
      <w:start w:val="1"/>
      <w:numFmt w:val="bullet"/>
      <w:lvlText w:val=""/>
      <w:lvlJc w:val="left"/>
      <w:pPr>
        <w:ind w:left="1080" w:hanging="360"/>
      </w:pPr>
      <w:rPr>
        <w:rFonts w:ascii="Symbol" w:hAnsi="Symbol"/>
      </w:rPr>
    </w:lvl>
    <w:lvl w:ilvl="1" w:tplc="DA2EB2CA">
      <w:start w:val="1"/>
      <w:numFmt w:val="bullet"/>
      <w:lvlText w:val=""/>
      <w:lvlJc w:val="left"/>
      <w:pPr>
        <w:ind w:left="1080" w:hanging="360"/>
      </w:pPr>
      <w:rPr>
        <w:rFonts w:ascii="Symbol" w:hAnsi="Symbol"/>
      </w:rPr>
    </w:lvl>
    <w:lvl w:ilvl="2" w:tplc="6E9AA3E2">
      <w:start w:val="1"/>
      <w:numFmt w:val="bullet"/>
      <w:lvlText w:val=""/>
      <w:lvlJc w:val="left"/>
      <w:pPr>
        <w:ind w:left="1080" w:hanging="360"/>
      </w:pPr>
      <w:rPr>
        <w:rFonts w:ascii="Symbol" w:hAnsi="Symbol"/>
      </w:rPr>
    </w:lvl>
    <w:lvl w:ilvl="3" w:tplc="99F852EC">
      <w:start w:val="1"/>
      <w:numFmt w:val="bullet"/>
      <w:lvlText w:val=""/>
      <w:lvlJc w:val="left"/>
      <w:pPr>
        <w:ind w:left="1080" w:hanging="360"/>
      </w:pPr>
      <w:rPr>
        <w:rFonts w:ascii="Symbol" w:hAnsi="Symbol"/>
      </w:rPr>
    </w:lvl>
    <w:lvl w:ilvl="4" w:tplc="AC0E01D8">
      <w:start w:val="1"/>
      <w:numFmt w:val="bullet"/>
      <w:lvlText w:val=""/>
      <w:lvlJc w:val="left"/>
      <w:pPr>
        <w:ind w:left="1080" w:hanging="360"/>
      </w:pPr>
      <w:rPr>
        <w:rFonts w:ascii="Symbol" w:hAnsi="Symbol"/>
      </w:rPr>
    </w:lvl>
    <w:lvl w:ilvl="5" w:tplc="157EC1D0">
      <w:start w:val="1"/>
      <w:numFmt w:val="bullet"/>
      <w:lvlText w:val=""/>
      <w:lvlJc w:val="left"/>
      <w:pPr>
        <w:ind w:left="1080" w:hanging="360"/>
      </w:pPr>
      <w:rPr>
        <w:rFonts w:ascii="Symbol" w:hAnsi="Symbol"/>
      </w:rPr>
    </w:lvl>
    <w:lvl w:ilvl="6" w:tplc="BAE8D092">
      <w:start w:val="1"/>
      <w:numFmt w:val="bullet"/>
      <w:lvlText w:val=""/>
      <w:lvlJc w:val="left"/>
      <w:pPr>
        <w:ind w:left="1080" w:hanging="360"/>
      </w:pPr>
      <w:rPr>
        <w:rFonts w:ascii="Symbol" w:hAnsi="Symbol"/>
      </w:rPr>
    </w:lvl>
    <w:lvl w:ilvl="7" w:tplc="19927338">
      <w:start w:val="1"/>
      <w:numFmt w:val="bullet"/>
      <w:lvlText w:val=""/>
      <w:lvlJc w:val="left"/>
      <w:pPr>
        <w:ind w:left="1080" w:hanging="360"/>
      </w:pPr>
      <w:rPr>
        <w:rFonts w:ascii="Symbol" w:hAnsi="Symbol"/>
      </w:rPr>
    </w:lvl>
    <w:lvl w:ilvl="8" w:tplc="A3742746">
      <w:start w:val="1"/>
      <w:numFmt w:val="bullet"/>
      <w:lvlText w:val=""/>
      <w:lvlJc w:val="left"/>
      <w:pPr>
        <w:ind w:left="1080" w:hanging="360"/>
      </w:pPr>
      <w:rPr>
        <w:rFonts w:ascii="Symbol" w:hAnsi="Symbol"/>
      </w:rPr>
    </w:lvl>
  </w:abstractNum>
  <w:abstractNum w:abstractNumId="1" w15:restartNumberingAfterBreak="0">
    <w:nsid w:val="7CE536E9"/>
    <w:multiLevelType w:val="hybridMultilevel"/>
    <w:tmpl w:val="B4C6B9D6"/>
    <w:lvl w:ilvl="0" w:tplc="E432FA20">
      <w:start w:val="1"/>
      <w:numFmt w:val="bullet"/>
      <w:lvlText w:val=""/>
      <w:lvlJc w:val="left"/>
      <w:pPr>
        <w:ind w:left="1080" w:hanging="360"/>
      </w:pPr>
      <w:rPr>
        <w:rFonts w:ascii="Symbol" w:hAnsi="Symbol"/>
      </w:rPr>
    </w:lvl>
    <w:lvl w:ilvl="1" w:tplc="4F3291CE">
      <w:start w:val="1"/>
      <w:numFmt w:val="bullet"/>
      <w:lvlText w:val=""/>
      <w:lvlJc w:val="left"/>
      <w:pPr>
        <w:ind w:left="1080" w:hanging="360"/>
      </w:pPr>
      <w:rPr>
        <w:rFonts w:ascii="Symbol" w:hAnsi="Symbol"/>
      </w:rPr>
    </w:lvl>
    <w:lvl w:ilvl="2" w:tplc="37041240">
      <w:start w:val="1"/>
      <w:numFmt w:val="bullet"/>
      <w:lvlText w:val=""/>
      <w:lvlJc w:val="left"/>
      <w:pPr>
        <w:ind w:left="1080" w:hanging="360"/>
      </w:pPr>
      <w:rPr>
        <w:rFonts w:ascii="Symbol" w:hAnsi="Symbol"/>
      </w:rPr>
    </w:lvl>
    <w:lvl w:ilvl="3" w:tplc="99421C1A">
      <w:start w:val="1"/>
      <w:numFmt w:val="bullet"/>
      <w:lvlText w:val=""/>
      <w:lvlJc w:val="left"/>
      <w:pPr>
        <w:ind w:left="1080" w:hanging="360"/>
      </w:pPr>
      <w:rPr>
        <w:rFonts w:ascii="Symbol" w:hAnsi="Symbol"/>
      </w:rPr>
    </w:lvl>
    <w:lvl w:ilvl="4" w:tplc="973C5FE0">
      <w:start w:val="1"/>
      <w:numFmt w:val="bullet"/>
      <w:lvlText w:val=""/>
      <w:lvlJc w:val="left"/>
      <w:pPr>
        <w:ind w:left="1080" w:hanging="360"/>
      </w:pPr>
      <w:rPr>
        <w:rFonts w:ascii="Symbol" w:hAnsi="Symbol"/>
      </w:rPr>
    </w:lvl>
    <w:lvl w:ilvl="5" w:tplc="8516015A">
      <w:start w:val="1"/>
      <w:numFmt w:val="bullet"/>
      <w:lvlText w:val=""/>
      <w:lvlJc w:val="left"/>
      <w:pPr>
        <w:ind w:left="1080" w:hanging="360"/>
      </w:pPr>
      <w:rPr>
        <w:rFonts w:ascii="Symbol" w:hAnsi="Symbol"/>
      </w:rPr>
    </w:lvl>
    <w:lvl w:ilvl="6" w:tplc="1220D400">
      <w:start w:val="1"/>
      <w:numFmt w:val="bullet"/>
      <w:lvlText w:val=""/>
      <w:lvlJc w:val="left"/>
      <w:pPr>
        <w:ind w:left="1080" w:hanging="360"/>
      </w:pPr>
      <w:rPr>
        <w:rFonts w:ascii="Symbol" w:hAnsi="Symbol"/>
      </w:rPr>
    </w:lvl>
    <w:lvl w:ilvl="7" w:tplc="9B2C6CFA">
      <w:start w:val="1"/>
      <w:numFmt w:val="bullet"/>
      <w:lvlText w:val=""/>
      <w:lvlJc w:val="left"/>
      <w:pPr>
        <w:ind w:left="1080" w:hanging="360"/>
      </w:pPr>
      <w:rPr>
        <w:rFonts w:ascii="Symbol" w:hAnsi="Symbol"/>
      </w:rPr>
    </w:lvl>
    <w:lvl w:ilvl="8" w:tplc="367EFFE0">
      <w:start w:val="1"/>
      <w:numFmt w:val="bullet"/>
      <w:lvlText w:val=""/>
      <w:lvlJc w:val="left"/>
      <w:pPr>
        <w:ind w:left="1080" w:hanging="360"/>
      </w:pPr>
      <w:rPr>
        <w:rFonts w:ascii="Symbol" w:hAnsi="Symbol"/>
      </w:rPr>
    </w:lvl>
  </w:abstractNum>
  <w:num w:numId="1" w16cid:durableId="2045446995">
    <w:abstractNumId w:val="1"/>
  </w:num>
  <w:num w:numId="2" w16cid:durableId="32940590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uchard, O. (Carmel)">
    <w15:presenceInfo w15:providerId="AD" w15:userId="S::o.suchard@uu.nl::e0702fe5-9d97-4682-889c-c2be6ccaa0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38F"/>
    <w:rsid w:val="000166E8"/>
    <w:rsid w:val="00032559"/>
    <w:rsid w:val="0004797D"/>
    <w:rsid w:val="00051024"/>
    <w:rsid w:val="0008691E"/>
    <w:rsid w:val="000F6397"/>
    <w:rsid w:val="001024AE"/>
    <w:rsid w:val="00150A23"/>
    <w:rsid w:val="0017218C"/>
    <w:rsid w:val="00204578"/>
    <w:rsid w:val="002240E8"/>
    <w:rsid w:val="00266FB3"/>
    <w:rsid w:val="00331B49"/>
    <w:rsid w:val="00352EF2"/>
    <w:rsid w:val="0037576C"/>
    <w:rsid w:val="004676EA"/>
    <w:rsid w:val="005B6055"/>
    <w:rsid w:val="006126B3"/>
    <w:rsid w:val="006B391A"/>
    <w:rsid w:val="006F5157"/>
    <w:rsid w:val="007716FC"/>
    <w:rsid w:val="00776894"/>
    <w:rsid w:val="007E72D3"/>
    <w:rsid w:val="008074E2"/>
    <w:rsid w:val="008632C6"/>
    <w:rsid w:val="008F746D"/>
    <w:rsid w:val="009819FF"/>
    <w:rsid w:val="00986947"/>
    <w:rsid w:val="00A40AD2"/>
    <w:rsid w:val="00C453D0"/>
    <w:rsid w:val="00C822A0"/>
    <w:rsid w:val="00D33AF2"/>
    <w:rsid w:val="00DD758C"/>
    <w:rsid w:val="00EF538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56EB6"/>
  <w15:chartTrackingRefBased/>
  <w15:docId w15:val="{BF2D6E93-4027-4A27-B53C-25E7CBBFF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6FC"/>
    <w:pPr>
      <w:jc w:val="both"/>
    </w:pPr>
    <w:rPr>
      <w:sz w:val="22"/>
      <w:szCs w:val="22"/>
    </w:rPr>
  </w:style>
  <w:style w:type="paragraph" w:styleId="Heading1">
    <w:name w:val="heading 1"/>
    <w:basedOn w:val="Normal"/>
    <w:next w:val="Normal"/>
    <w:link w:val="Heading1Char"/>
    <w:uiPriority w:val="9"/>
    <w:qFormat/>
    <w:rsid w:val="00EF538F"/>
    <w:pPr>
      <w:keepNext/>
      <w:keepLines/>
      <w:spacing w:before="360" w:after="8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538F"/>
    <w:pPr>
      <w:keepNext/>
      <w:keepLines/>
      <w:spacing w:before="160" w:after="8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538F"/>
    <w:pPr>
      <w:keepNext/>
      <w:keepLines/>
      <w:spacing w:before="160" w:after="80"/>
      <w:jc w:val="left"/>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538F"/>
    <w:pPr>
      <w:keepNext/>
      <w:keepLines/>
      <w:spacing w:before="80" w:after="40"/>
      <w:jc w:val="left"/>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EF538F"/>
    <w:pPr>
      <w:keepNext/>
      <w:keepLines/>
      <w:spacing w:before="80" w:after="40"/>
      <w:jc w:val="left"/>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EF538F"/>
    <w:pPr>
      <w:keepNext/>
      <w:keepLines/>
      <w:spacing w:before="40" w:after="0"/>
      <w:jc w:val="left"/>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EF538F"/>
    <w:pPr>
      <w:keepNext/>
      <w:keepLines/>
      <w:spacing w:before="40" w:after="0"/>
      <w:jc w:val="left"/>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EF538F"/>
    <w:pPr>
      <w:keepNext/>
      <w:keepLines/>
      <w:spacing w:after="0"/>
      <w:jc w:val="left"/>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EF538F"/>
    <w:pPr>
      <w:keepNext/>
      <w:keepLines/>
      <w:spacing w:after="0"/>
      <w:jc w:val="left"/>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3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53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53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53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53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53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3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3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38F"/>
    <w:rPr>
      <w:rFonts w:eastAsiaTheme="majorEastAsia" w:cstheme="majorBidi"/>
      <w:color w:val="272727" w:themeColor="text1" w:themeTint="D8"/>
    </w:rPr>
  </w:style>
  <w:style w:type="paragraph" w:styleId="Title">
    <w:name w:val="Title"/>
    <w:basedOn w:val="Normal"/>
    <w:next w:val="Normal"/>
    <w:link w:val="TitleChar"/>
    <w:uiPriority w:val="10"/>
    <w:qFormat/>
    <w:rsid w:val="00EF538F"/>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3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38F"/>
    <w:pPr>
      <w:numPr>
        <w:ilvl w:val="1"/>
      </w:numPr>
      <w:jc w:val="left"/>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3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38F"/>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EF538F"/>
    <w:rPr>
      <w:i/>
      <w:iCs/>
      <w:color w:val="404040" w:themeColor="text1" w:themeTint="BF"/>
    </w:rPr>
  </w:style>
  <w:style w:type="paragraph" w:styleId="ListParagraph">
    <w:name w:val="List Paragraph"/>
    <w:basedOn w:val="Normal"/>
    <w:uiPriority w:val="34"/>
    <w:qFormat/>
    <w:rsid w:val="00EF538F"/>
    <w:pPr>
      <w:ind w:left="720"/>
      <w:contextualSpacing/>
      <w:jc w:val="left"/>
    </w:pPr>
    <w:rPr>
      <w:sz w:val="24"/>
      <w:szCs w:val="24"/>
    </w:rPr>
  </w:style>
  <w:style w:type="character" w:styleId="IntenseEmphasis">
    <w:name w:val="Intense Emphasis"/>
    <w:basedOn w:val="DefaultParagraphFont"/>
    <w:uiPriority w:val="21"/>
    <w:qFormat/>
    <w:rsid w:val="00EF538F"/>
    <w:rPr>
      <w:i/>
      <w:iCs/>
      <w:color w:val="0F4761" w:themeColor="accent1" w:themeShade="BF"/>
    </w:rPr>
  </w:style>
  <w:style w:type="paragraph" w:styleId="IntenseQuote">
    <w:name w:val="Intense Quote"/>
    <w:basedOn w:val="Normal"/>
    <w:next w:val="Normal"/>
    <w:link w:val="IntenseQuoteChar"/>
    <w:uiPriority w:val="30"/>
    <w:qFormat/>
    <w:rsid w:val="00EF53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EF538F"/>
    <w:rPr>
      <w:i/>
      <w:iCs/>
      <w:color w:val="0F4761" w:themeColor="accent1" w:themeShade="BF"/>
    </w:rPr>
  </w:style>
  <w:style w:type="character" w:styleId="IntenseReference">
    <w:name w:val="Intense Reference"/>
    <w:basedOn w:val="DefaultParagraphFont"/>
    <w:uiPriority w:val="32"/>
    <w:qFormat/>
    <w:rsid w:val="00EF538F"/>
    <w:rPr>
      <w:b/>
      <w:bCs/>
      <w:smallCaps/>
      <w:color w:val="0F4761" w:themeColor="accent1" w:themeShade="BF"/>
      <w:spacing w:val="5"/>
    </w:rPr>
  </w:style>
  <w:style w:type="character" w:styleId="Hyperlink">
    <w:name w:val="Hyperlink"/>
    <w:basedOn w:val="DefaultParagraphFont"/>
    <w:uiPriority w:val="99"/>
    <w:unhideWhenUsed/>
    <w:rsid w:val="00EF538F"/>
    <w:rPr>
      <w:color w:val="467886" w:themeColor="hyperlink"/>
      <w:u w:val="single"/>
    </w:rPr>
  </w:style>
  <w:style w:type="paragraph" w:styleId="FootnoteText">
    <w:name w:val="footnote text"/>
    <w:basedOn w:val="Normal"/>
    <w:link w:val="FootnoteTextChar"/>
    <w:uiPriority w:val="99"/>
    <w:unhideWhenUsed/>
    <w:rsid w:val="00EF538F"/>
    <w:pPr>
      <w:spacing w:after="0" w:line="240" w:lineRule="auto"/>
    </w:pPr>
    <w:rPr>
      <w:sz w:val="20"/>
      <w:szCs w:val="20"/>
    </w:rPr>
  </w:style>
  <w:style w:type="character" w:customStyle="1" w:styleId="FootnoteTextChar">
    <w:name w:val="Footnote Text Char"/>
    <w:basedOn w:val="DefaultParagraphFont"/>
    <w:link w:val="FootnoteText"/>
    <w:uiPriority w:val="99"/>
    <w:rsid w:val="00EF538F"/>
    <w:rPr>
      <w:sz w:val="20"/>
      <w:szCs w:val="20"/>
    </w:rPr>
  </w:style>
  <w:style w:type="character" w:styleId="FootnoteReference">
    <w:name w:val="footnote reference"/>
    <w:basedOn w:val="DefaultParagraphFont"/>
    <w:uiPriority w:val="99"/>
    <w:semiHidden/>
    <w:unhideWhenUsed/>
    <w:rsid w:val="00EF538F"/>
    <w:rPr>
      <w:vertAlign w:val="superscript"/>
    </w:rPr>
  </w:style>
  <w:style w:type="character" w:styleId="CommentReference">
    <w:name w:val="annotation reference"/>
    <w:basedOn w:val="DefaultParagraphFont"/>
    <w:uiPriority w:val="99"/>
    <w:semiHidden/>
    <w:unhideWhenUsed/>
    <w:rsid w:val="00EF538F"/>
    <w:rPr>
      <w:sz w:val="16"/>
      <w:szCs w:val="16"/>
    </w:rPr>
  </w:style>
  <w:style w:type="paragraph" w:styleId="CommentText">
    <w:name w:val="annotation text"/>
    <w:basedOn w:val="Normal"/>
    <w:link w:val="CommentTextChar"/>
    <w:uiPriority w:val="99"/>
    <w:unhideWhenUsed/>
    <w:rsid w:val="00EF538F"/>
    <w:pPr>
      <w:spacing w:line="240" w:lineRule="auto"/>
    </w:pPr>
    <w:rPr>
      <w:sz w:val="20"/>
      <w:szCs w:val="20"/>
    </w:rPr>
  </w:style>
  <w:style w:type="character" w:customStyle="1" w:styleId="CommentTextChar">
    <w:name w:val="Comment Text Char"/>
    <w:basedOn w:val="DefaultParagraphFont"/>
    <w:link w:val="CommentText"/>
    <w:uiPriority w:val="99"/>
    <w:rsid w:val="00EF538F"/>
    <w:rPr>
      <w:sz w:val="20"/>
      <w:szCs w:val="20"/>
    </w:rPr>
  </w:style>
  <w:style w:type="table" w:styleId="TableGrid">
    <w:name w:val="Table Grid"/>
    <w:basedOn w:val="TableNormal"/>
    <w:uiPriority w:val="39"/>
    <w:rsid w:val="00EF53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C822A0"/>
    <w:rPr>
      <w:b/>
      <w:bCs/>
    </w:rPr>
  </w:style>
  <w:style w:type="character" w:customStyle="1" w:styleId="CommentSubjectChar">
    <w:name w:val="Comment Subject Char"/>
    <w:basedOn w:val="CommentTextChar"/>
    <w:link w:val="CommentSubject"/>
    <w:uiPriority w:val="99"/>
    <w:semiHidden/>
    <w:rsid w:val="00C822A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787271">
      <w:bodyDiv w:val="1"/>
      <w:marLeft w:val="0"/>
      <w:marRight w:val="0"/>
      <w:marTop w:val="0"/>
      <w:marBottom w:val="0"/>
      <w:divBdr>
        <w:top w:val="none" w:sz="0" w:space="0" w:color="auto"/>
        <w:left w:val="none" w:sz="0" w:space="0" w:color="auto"/>
        <w:bottom w:val="none" w:sz="0" w:space="0" w:color="auto"/>
        <w:right w:val="none" w:sz="0" w:space="0" w:color="auto"/>
      </w:divBdr>
      <w:divsChild>
        <w:div w:id="546845159">
          <w:marLeft w:val="0"/>
          <w:marRight w:val="0"/>
          <w:marTop w:val="0"/>
          <w:marBottom w:val="0"/>
          <w:divBdr>
            <w:top w:val="none" w:sz="0" w:space="0" w:color="auto"/>
            <w:left w:val="none" w:sz="0" w:space="0" w:color="auto"/>
            <w:bottom w:val="none" w:sz="0" w:space="0" w:color="auto"/>
            <w:right w:val="none" w:sz="0" w:space="0" w:color="auto"/>
          </w:divBdr>
          <w:divsChild>
            <w:div w:id="1558318082">
              <w:marLeft w:val="0"/>
              <w:marRight w:val="0"/>
              <w:marTop w:val="0"/>
              <w:marBottom w:val="0"/>
              <w:divBdr>
                <w:top w:val="none" w:sz="0" w:space="0" w:color="auto"/>
                <w:left w:val="none" w:sz="0" w:space="0" w:color="auto"/>
                <w:bottom w:val="none" w:sz="0" w:space="0" w:color="auto"/>
                <w:right w:val="none" w:sz="0" w:space="0" w:color="auto"/>
              </w:divBdr>
            </w:div>
            <w:div w:id="688145247">
              <w:marLeft w:val="0"/>
              <w:marRight w:val="0"/>
              <w:marTop w:val="0"/>
              <w:marBottom w:val="0"/>
              <w:divBdr>
                <w:top w:val="none" w:sz="0" w:space="0" w:color="auto"/>
                <w:left w:val="none" w:sz="0" w:space="0" w:color="auto"/>
                <w:bottom w:val="none" w:sz="0" w:space="0" w:color="auto"/>
                <w:right w:val="none" w:sz="0" w:space="0" w:color="auto"/>
              </w:divBdr>
            </w:div>
            <w:div w:id="71559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375203">
      <w:bodyDiv w:val="1"/>
      <w:marLeft w:val="0"/>
      <w:marRight w:val="0"/>
      <w:marTop w:val="0"/>
      <w:marBottom w:val="0"/>
      <w:divBdr>
        <w:top w:val="none" w:sz="0" w:space="0" w:color="auto"/>
        <w:left w:val="none" w:sz="0" w:space="0" w:color="auto"/>
        <w:bottom w:val="none" w:sz="0" w:space="0" w:color="auto"/>
        <w:right w:val="none" w:sz="0" w:space="0" w:color="auto"/>
      </w:divBdr>
      <w:divsChild>
        <w:div w:id="232156665">
          <w:marLeft w:val="0"/>
          <w:marRight w:val="0"/>
          <w:marTop w:val="0"/>
          <w:marBottom w:val="0"/>
          <w:divBdr>
            <w:top w:val="none" w:sz="0" w:space="0" w:color="auto"/>
            <w:left w:val="none" w:sz="0" w:space="0" w:color="auto"/>
            <w:bottom w:val="none" w:sz="0" w:space="0" w:color="auto"/>
            <w:right w:val="none" w:sz="0" w:space="0" w:color="auto"/>
          </w:divBdr>
          <w:divsChild>
            <w:div w:id="180126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052669">
      <w:bodyDiv w:val="1"/>
      <w:marLeft w:val="0"/>
      <w:marRight w:val="0"/>
      <w:marTop w:val="0"/>
      <w:marBottom w:val="0"/>
      <w:divBdr>
        <w:top w:val="none" w:sz="0" w:space="0" w:color="auto"/>
        <w:left w:val="none" w:sz="0" w:space="0" w:color="auto"/>
        <w:bottom w:val="none" w:sz="0" w:space="0" w:color="auto"/>
        <w:right w:val="none" w:sz="0" w:space="0" w:color="auto"/>
      </w:divBdr>
      <w:divsChild>
        <w:div w:id="1031028559">
          <w:marLeft w:val="0"/>
          <w:marRight w:val="0"/>
          <w:marTop w:val="0"/>
          <w:marBottom w:val="0"/>
          <w:divBdr>
            <w:top w:val="none" w:sz="0" w:space="0" w:color="auto"/>
            <w:left w:val="none" w:sz="0" w:space="0" w:color="auto"/>
            <w:bottom w:val="none" w:sz="0" w:space="0" w:color="auto"/>
            <w:right w:val="none" w:sz="0" w:space="0" w:color="auto"/>
          </w:divBdr>
          <w:divsChild>
            <w:div w:id="822307998">
              <w:marLeft w:val="0"/>
              <w:marRight w:val="0"/>
              <w:marTop w:val="0"/>
              <w:marBottom w:val="0"/>
              <w:divBdr>
                <w:top w:val="none" w:sz="0" w:space="0" w:color="auto"/>
                <w:left w:val="none" w:sz="0" w:space="0" w:color="auto"/>
                <w:bottom w:val="none" w:sz="0" w:space="0" w:color="auto"/>
                <w:right w:val="none" w:sz="0" w:space="0" w:color="auto"/>
              </w:divBdr>
            </w:div>
            <w:div w:id="188565005">
              <w:marLeft w:val="0"/>
              <w:marRight w:val="0"/>
              <w:marTop w:val="0"/>
              <w:marBottom w:val="0"/>
              <w:divBdr>
                <w:top w:val="none" w:sz="0" w:space="0" w:color="auto"/>
                <w:left w:val="none" w:sz="0" w:space="0" w:color="auto"/>
                <w:bottom w:val="none" w:sz="0" w:space="0" w:color="auto"/>
                <w:right w:val="none" w:sz="0" w:space="0" w:color="auto"/>
              </w:divBdr>
            </w:div>
            <w:div w:id="2144619092">
              <w:marLeft w:val="0"/>
              <w:marRight w:val="0"/>
              <w:marTop w:val="0"/>
              <w:marBottom w:val="0"/>
              <w:divBdr>
                <w:top w:val="none" w:sz="0" w:space="0" w:color="auto"/>
                <w:left w:val="none" w:sz="0" w:space="0" w:color="auto"/>
                <w:bottom w:val="none" w:sz="0" w:space="0" w:color="auto"/>
                <w:right w:val="none" w:sz="0" w:space="0" w:color="auto"/>
              </w:divBdr>
            </w:div>
            <w:div w:id="295184135">
              <w:marLeft w:val="0"/>
              <w:marRight w:val="0"/>
              <w:marTop w:val="0"/>
              <w:marBottom w:val="0"/>
              <w:divBdr>
                <w:top w:val="none" w:sz="0" w:space="0" w:color="auto"/>
                <w:left w:val="none" w:sz="0" w:space="0" w:color="auto"/>
                <w:bottom w:val="none" w:sz="0" w:space="0" w:color="auto"/>
                <w:right w:val="none" w:sz="0" w:space="0" w:color="auto"/>
              </w:divBdr>
            </w:div>
            <w:div w:id="1335189584">
              <w:marLeft w:val="0"/>
              <w:marRight w:val="0"/>
              <w:marTop w:val="0"/>
              <w:marBottom w:val="0"/>
              <w:divBdr>
                <w:top w:val="none" w:sz="0" w:space="0" w:color="auto"/>
                <w:left w:val="none" w:sz="0" w:space="0" w:color="auto"/>
                <w:bottom w:val="none" w:sz="0" w:space="0" w:color="auto"/>
                <w:right w:val="none" w:sz="0" w:space="0" w:color="auto"/>
              </w:divBdr>
            </w:div>
            <w:div w:id="2053580645">
              <w:marLeft w:val="0"/>
              <w:marRight w:val="0"/>
              <w:marTop w:val="0"/>
              <w:marBottom w:val="0"/>
              <w:divBdr>
                <w:top w:val="none" w:sz="0" w:space="0" w:color="auto"/>
                <w:left w:val="none" w:sz="0" w:space="0" w:color="auto"/>
                <w:bottom w:val="none" w:sz="0" w:space="0" w:color="auto"/>
                <w:right w:val="none" w:sz="0" w:space="0" w:color="auto"/>
              </w:divBdr>
            </w:div>
            <w:div w:id="1794977799">
              <w:marLeft w:val="0"/>
              <w:marRight w:val="0"/>
              <w:marTop w:val="0"/>
              <w:marBottom w:val="0"/>
              <w:divBdr>
                <w:top w:val="none" w:sz="0" w:space="0" w:color="auto"/>
                <w:left w:val="none" w:sz="0" w:space="0" w:color="auto"/>
                <w:bottom w:val="none" w:sz="0" w:space="0" w:color="auto"/>
                <w:right w:val="none" w:sz="0" w:space="0" w:color="auto"/>
              </w:divBdr>
            </w:div>
            <w:div w:id="600449787">
              <w:marLeft w:val="0"/>
              <w:marRight w:val="0"/>
              <w:marTop w:val="0"/>
              <w:marBottom w:val="0"/>
              <w:divBdr>
                <w:top w:val="none" w:sz="0" w:space="0" w:color="auto"/>
                <w:left w:val="none" w:sz="0" w:space="0" w:color="auto"/>
                <w:bottom w:val="none" w:sz="0" w:space="0" w:color="auto"/>
                <w:right w:val="none" w:sz="0" w:space="0" w:color="auto"/>
              </w:divBdr>
            </w:div>
            <w:div w:id="329064805">
              <w:marLeft w:val="0"/>
              <w:marRight w:val="0"/>
              <w:marTop w:val="0"/>
              <w:marBottom w:val="0"/>
              <w:divBdr>
                <w:top w:val="none" w:sz="0" w:space="0" w:color="auto"/>
                <w:left w:val="none" w:sz="0" w:space="0" w:color="auto"/>
                <w:bottom w:val="none" w:sz="0" w:space="0" w:color="auto"/>
                <w:right w:val="none" w:sz="0" w:space="0" w:color="auto"/>
              </w:divBdr>
            </w:div>
            <w:div w:id="659189732">
              <w:marLeft w:val="0"/>
              <w:marRight w:val="0"/>
              <w:marTop w:val="0"/>
              <w:marBottom w:val="0"/>
              <w:divBdr>
                <w:top w:val="none" w:sz="0" w:space="0" w:color="auto"/>
                <w:left w:val="none" w:sz="0" w:space="0" w:color="auto"/>
                <w:bottom w:val="none" w:sz="0" w:space="0" w:color="auto"/>
                <w:right w:val="none" w:sz="0" w:space="0" w:color="auto"/>
              </w:divBdr>
            </w:div>
            <w:div w:id="556818647">
              <w:marLeft w:val="0"/>
              <w:marRight w:val="0"/>
              <w:marTop w:val="0"/>
              <w:marBottom w:val="0"/>
              <w:divBdr>
                <w:top w:val="none" w:sz="0" w:space="0" w:color="auto"/>
                <w:left w:val="none" w:sz="0" w:space="0" w:color="auto"/>
                <w:bottom w:val="none" w:sz="0" w:space="0" w:color="auto"/>
                <w:right w:val="none" w:sz="0" w:space="0" w:color="auto"/>
              </w:divBdr>
            </w:div>
            <w:div w:id="935788920">
              <w:marLeft w:val="0"/>
              <w:marRight w:val="0"/>
              <w:marTop w:val="0"/>
              <w:marBottom w:val="0"/>
              <w:divBdr>
                <w:top w:val="none" w:sz="0" w:space="0" w:color="auto"/>
                <w:left w:val="none" w:sz="0" w:space="0" w:color="auto"/>
                <w:bottom w:val="none" w:sz="0" w:space="0" w:color="auto"/>
                <w:right w:val="none" w:sz="0" w:space="0" w:color="auto"/>
              </w:divBdr>
            </w:div>
            <w:div w:id="1621641542">
              <w:marLeft w:val="0"/>
              <w:marRight w:val="0"/>
              <w:marTop w:val="0"/>
              <w:marBottom w:val="0"/>
              <w:divBdr>
                <w:top w:val="none" w:sz="0" w:space="0" w:color="auto"/>
                <w:left w:val="none" w:sz="0" w:space="0" w:color="auto"/>
                <w:bottom w:val="none" w:sz="0" w:space="0" w:color="auto"/>
                <w:right w:val="none" w:sz="0" w:space="0" w:color="auto"/>
              </w:divBdr>
            </w:div>
            <w:div w:id="370887060">
              <w:marLeft w:val="0"/>
              <w:marRight w:val="0"/>
              <w:marTop w:val="0"/>
              <w:marBottom w:val="0"/>
              <w:divBdr>
                <w:top w:val="none" w:sz="0" w:space="0" w:color="auto"/>
                <w:left w:val="none" w:sz="0" w:space="0" w:color="auto"/>
                <w:bottom w:val="none" w:sz="0" w:space="0" w:color="auto"/>
                <w:right w:val="none" w:sz="0" w:space="0" w:color="auto"/>
              </w:divBdr>
            </w:div>
            <w:div w:id="1234704889">
              <w:marLeft w:val="0"/>
              <w:marRight w:val="0"/>
              <w:marTop w:val="0"/>
              <w:marBottom w:val="0"/>
              <w:divBdr>
                <w:top w:val="none" w:sz="0" w:space="0" w:color="auto"/>
                <w:left w:val="none" w:sz="0" w:space="0" w:color="auto"/>
                <w:bottom w:val="none" w:sz="0" w:space="0" w:color="auto"/>
                <w:right w:val="none" w:sz="0" w:space="0" w:color="auto"/>
              </w:divBdr>
            </w:div>
            <w:div w:id="93866469">
              <w:marLeft w:val="0"/>
              <w:marRight w:val="0"/>
              <w:marTop w:val="0"/>
              <w:marBottom w:val="0"/>
              <w:divBdr>
                <w:top w:val="none" w:sz="0" w:space="0" w:color="auto"/>
                <w:left w:val="none" w:sz="0" w:space="0" w:color="auto"/>
                <w:bottom w:val="none" w:sz="0" w:space="0" w:color="auto"/>
                <w:right w:val="none" w:sz="0" w:space="0" w:color="auto"/>
              </w:divBdr>
            </w:div>
            <w:div w:id="1963539551">
              <w:marLeft w:val="0"/>
              <w:marRight w:val="0"/>
              <w:marTop w:val="0"/>
              <w:marBottom w:val="0"/>
              <w:divBdr>
                <w:top w:val="none" w:sz="0" w:space="0" w:color="auto"/>
                <w:left w:val="none" w:sz="0" w:space="0" w:color="auto"/>
                <w:bottom w:val="none" w:sz="0" w:space="0" w:color="auto"/>
                <w:right w:val="none" w:sz="0" w:space="0" w:color="auto"/>
              </w:divBdr>
            </w:div>
            <w:div w:id="580408659">
              <w:marLeft w:val="0"/>
              <w:marRight w:val="0"/>
              <w:marTop w:val="0"/>
              <w:marBottom w:val="0"/>
              <w:divBdr>
                <w:top w:val="none" w:sz="0" w:space="0" w:color="auto"/>
                <w:left w:val="none" w:sz="0" w:space="0" w:color="auto"/>
                <w:bottom w:val="none" w:sz="0" w:space="0" w:color="auto"/>
                <w:right w:val="none" w:sz="0" w:space="0" w:color="auto"/>
              </w:divBdr>
            </w:div>
            <w:div w:id="10498891">
              <w:marLeft w:val="0"/>
              <w:marRight w:val="0"/>
              <w:marTop w:val="0"/>
              <w:marBottom w:val="0"/>
              <w:divBdr>
                <w:top w:val="none" w:sz="0" w:space="0" w:color="auto"/>
                <w:left w:val="none" w:sz="0" w:space="0" w:color="auto"/>
                <w:bottom w:val="none" w:sz="0" w:space="0" w:color="auto"/>
                <w:right w:val="none" w:sz="0" w:space="0" w:color="auto"/>
              </w:divBdr>
            </w:div>
            <w:div w:id="127980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5d%20J.%20Devlin,%20M.-W.%20Chang,%20K.%20Lee,%20et%20al.,%20BERT:%20pre-training%20of%20deep%20bidirectional%20transformers%20for%20language%20understanding,%20in:%20Proceedings%20of%20the%202019%20Conference" TargetMode="External"/><Relationship Id="rId12"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2204</Words>
  <Characters>12128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Suchard, O. (Carmel)</dc:creator>
  <cp:keywords/>
  <dc:description/>
  <cp:lastModifiedBy>Suchard, O. (Carmel)</cp:lastModifiedBy>
  <cp:revision>7</cp:revision>
  <dcterms:created xsi:type="dcterms:W3CDTF">2026-01-22T17:34:00Z</dcterms:created>
  <dcterms:modified xsi:type="dcterms:W3CDTF">2026-01-24T15:25:00Z</dcterms:modified>
</cp:coreProperties>
</file>