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FACULDADE DE TECNOLOGIA SENAC GOIÁS</w:t>
      </w:r>
    </w:p>
    <w:p w:rsidR="00000000" w:rsidDel="00000000" w:rsidP="00000000" w:rsidRDefault="00000000" w:rsidRPr="00000000">
      <w:pPr>
        <w:pBdr/>
        <w:spacing w:after="72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Gestão da Tecnologia da Informação</w:t>
      </w:r>
    </w:p>
    <w:p w:rsidR="00000000" w:rsidDel="00000000" w:rsidP="00000000" w:rsidRDefault="00000000" w:rsidRPr="00000000">
      <w:pPr>
        <w:pBdr/>
        <w:spacing w:after="1440" w:line="360" w:lineRule="auto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808990" cy="43751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3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4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Carmem Lucia Pinheiro Galdino</w:t>
      </w:r>
    </w:p>
    <w:p w:rsidR="00000000" w:rsidDel="00000000" w:rsidP="00000000" w:rsidRDefault="00000000" w:rsidRPr="00000000">
      <w:pPr>
        <w:pBdr/>
        <w:spacing w:after="240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Gerência de configuração</w:t>
      </w:r>
    </w:p>
    <w:p w:rsidR="00000000" w:rsidDel="00000000" w:rsidP="00000000" w:rsidRDefault="00000000" w:rsidRPr="00000000">
      <w:pPr>
        <w:pBdr/>
        <w:spacing w:after="300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Elias Ferreira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4400"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Carmem Lúcia Pinheiro Galdino</w:t>
      </w:r>
    </w:p>
    <w:p w:rsidR="00000000" w:rsidDel="00000000" w:rsidP="00000000" w:rsidRDefault="00000000" w:rsidRPr="00000000">
      <w:pPr>
        <w:pBdr/>
        <w:spacing w:after="240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Gerência de Configuração</w:t>
      </w:r>
    </w:p>
    <w:p w:rsidR="00000000" w:rsidDel="00000000" w:rsidP="00000000" w:rsidRDefault="00000000" w:rsidRPr="00000000">
      <w:pPr>
        <w:pBdr/>
        <w:spacing w:line="360" w:lineRule="auto"/>
        <w:ind w:left="3969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apresentado como requisito parcial para obtenção de aprovação na disciplina de Auditoria e Qualidade de Software no Curso de Gestão da Tecnologia da Informação na Faculdade de Tecnologia Senac Goiás.</w:t>
      </w:r>
    </w:p>
    <w:p w:rsidR="00000000" w:rsidDel="00000000" w:rsidP="00000000" w:rsidRDefault="00000000" w:rsidRPr="00000000">
      <w:pPr>
        <w:pBdr/>
        <w:spacing w:after="1800" w:line="360" w:lineRule="auto"/>
        <w:ind w:left="3969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Elias Ferreira</w:t>
      </w:r>
    </w:p>
    <w:p w:rsidR="00000000" w:rsidDel="00000000" w:rsidP="00000000" w:rsidRDefault="00000000" w:rsidRPr="00000000">
      <w:pPr>
        <w:pBdr/>
        <w:spacing w:after="0" w:line="360" w:lineRule="auto"/>
        <w:ind w:left="3969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GOIÂNIA,</w:t>
      </w:r>
    </w:p>
    <w:p w:rsidR="00000000" w:rsidDel="00000000" w:rsidP="00000000" w:rsidRDefault="00000000" w:rsidRPr="00000000">
      <w:pPr>
        <w:pBdr/>
        <w:spacing w:after="0" w:line="360" w:lineRule="auto"/>
        <w:ind w:left="288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2017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708"/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trabalho apresenta os principais itens para a gerência de configuração e uma breve introdução sobre GITHUB e como é feito sua instalação</w:t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708"/>
        <w:contextualSpacing w:val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Palavras chaves: Gerência de Configuração e Github.</w:t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="276" w:lineRule="auto"/>
        <w:ind w:left="432" w:hanging="432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="276" w:lineRule="auto"/>
        <w:ind w:left="432" w:hanging="432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left" w:pos="382"/>
              <w:tab w:val="right" w:pos="9061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color w:val="00000a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RESUMO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ab/>
            </w:r>
          </w:hyperlink>
          <w:hyperlink w:anchor="_gjdgxs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left" w:pos="382"/>
              <w:tab w:val="right" w:pos="9061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color w:val="00000a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INTRODUÇÃO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ab/>
            </w:r>
          </w:hyperlink>
          <w:hyperlink w:anchor="_30j0zll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left" w:pos="382"/>
              <w:tab w:val="right" w:pos="9061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color w:val="00000a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OBJETIVO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left" w:pos="382"/>
              <w:tab w:val="right" w:pos="9061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color w:val="00000a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DESENVOLVIMENTO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left" w:pos="382"/>
              <w:tab w:val="right" w:pos="9061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color w:val="00000a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CONCLUSÃO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left" w:pos="382"/>
              <w:tab w:val="right" w:pos="9061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color w:val="00000a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REFERÊNCIAS BIBLIOGRÁFICAS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4"/>
                <w:szCs w:val="24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tl w:val="0"/>
              </w:rPr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0" w:before="0" w:line="360" w:lineRule="auto"/>
        <w:ind w:left="720" w:firstLine="0"/>
        <w:contextualSpacing w:val="0"/>
        <w:rPr>
          <w:rFonts w:ascii="Times New Roman" w:cs="Times New Roman" w:eastAsia="Times New Roman" w:hAnsi="Times New Roman"/>
          <w:b w:val="0"/>
          <w:color w:val="00000a"/>
          <w:sz w:val="22"/>
          <w:szCs w:val="22"/>
        </w:rPr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/>
        <w:spacing w:line="360" w:lineRule="auto"/>
        <w:ind w:left="0"/>
        <w:contextualSpacing w:val="0"/>
        <w:rPr>
          <w:rFonts w:ascii="Arial" w:cs="Arial" w:eastAsia="Arial" w:hAnsi="Arial"/>
        </w:rPr>
      </w:pPr>
      <w:bookmarkStart w:colFirst="0" w:colLast="0" w:name="_e13123s1thf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ind w:left="0" w:firstLine="720"/>
        <w:contextualSpacing w:val="0"/>
        <w:rPr>
          <w:rFonts w:ascii="Arial" w:cs="Arial" w:eastAsia="Arial" w:hAnsi="Arial"/>
          <w:b w:val="1"/>
          <w:color w:val="00000a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b w:val="0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a"/>
          <w:sz w:val="20"/>
          <w:szCs w:val="20"/>
          <w:rtl w:val="0"/>
        </w:rPr>
        <w:t xml:space="preserve">A introdução é a parte inicial do texto, que contém informações objetivas para situar o tema do trabalho, tais como a delimitação do assunto e os objetivos da pesquisa. </w:t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QUE È GERÊNCIA DE CONFIGURAÇÃO</w:t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È um conjunto de atividades de apoio que permitem controlar as mudanças que ocorrem no desenvolvimento de software, mantendo a estabilidade na evolução do projeto.           </w:t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Gerència de configuração pode ser considerada um conjunto de atividades projetadas para controlar as mudanças pela identificação dos produtos do trabalho que serão alterados, estabelecendo um relacionamento entre eles, definindo o mecanismo para o gerenciamento de diferentes versões destes produtos, controlando as mudanças impostas, e auditando e relatando as mudanças realizadas. </w:t>
      </w:r>
    </w:p>
    <w:p w:rsidR="00000000" w:rsidDel="00000000" w:rsidP="00000000" w:rsidRDefault="00000000" w:rsidRPr="00000000">
      <w:pPr>
        <w:pBdr/>
        <w:spacing w:after="280" w:before="280" w:line="360" w:lineRule="auto"/>
        <w:ind w:firstLine="432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 Gerenciamento de Configuração é focado nas características funcionais e físicas do “produto” (ou entregas do projeto). A maioria de nós que trabalharam em projetos têm usado o Gerenciamento de Configuração. No contexto de sistemas de TI, Gerenciamento de Configuração pode ser aplicado a configuração de software, hardware e rede.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bookmarkStart w:colFirst="0" w:colLast="0" w:name="_s70ic85pbei5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ITEM DE CONFIGURAÇÃO (IC)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Arial" w:cs="Arial" w:eastAsia="Arial" w:hAnsi="Arial"/>
          <w:color w:val="61616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Um Item de Configuração é um 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highlight w:val="white"/>
            <w:rtl w:val="0"/>
          </w:rPr>
          <w:t xml:space="preserve">Ativo de Serviço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que precisa ser gerido a fim de entregar um serviço de TI. Ele é um ativo tão essencial para a entrega do serviço que gerenciado como um IC, para manter controle sob todos os registros de configuração, durante o ciclo de vida</w:t>
      </w:r>
      <w:r w:rsidDel="00000000" w:rsidR="00000000" w:rsidRPr="00000000">
        <w:rPr>
          <w:rFonts w:ascii="Arial" w:cs="Arial" w:eastAsia="Arial" w:hAnsi="Arial"/>
          <w:color w:val="61616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Todo Item de Configuração (IC) deve estar sob controle do Gerenciamento de Mudança e ter suas informações gerenciadas de forma dinâmica. </w:t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tem de Configuração (IC): Representação lógica dos componentes da infraestrutura.</w:t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Ele pode incluir: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60" w:lineRule="auto"/>
        <w:ind w:left="144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 produto;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60" w:lineRule="auto"/>
        <w:ind w:left="144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Seus componentes;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line="360" w:lineRule="auto"/>
        <w:ind w:left="144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Documentação ou artefatos do projeto.</w:t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Processo - Gerência de Configuração – GCO Nível MR-MPS-SW: F - Gerenciado</w:t>
      </w:r>
    </w:p>
    <w:p w:rsidR="00000000" w:rsidDel="00000000" w:rsidP="00000000" w:rsidRDefault="00000000" w:rsidRPr="00000000">
      <w:pPr>
        <w:pBdr/>
        <w:spacing w:after="160" w:line="36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Propósito: </w:t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 propósito do processo Gerência de Configuração é estabelecer e manter a integridade de todos os produtos de trabalho de um processo ou projeto e disponibilizá-los a todos os envolvidos.</w:t>
      </w:r>
    </w:p>
    <w:p w:rsidR="00000000" w:rsidDel="00000000" w:rsidP="00000000" w:rsidRDefault="00000000" w:rsidRPr="00000000">
      <w:pPr>
        <w:pBdr/>
        <w:spacing w:after="160" w:line="360" w:lineRule="auto"/>
        <w:ind w:left="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Resultados esperados: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1. Um Sistema de Gerência de Configuração é estabelecido e mantido;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2. Os itens de configuração são identificados com base em critérios estabelecidos;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3. Os itens de configuração sujeitos a um controle formal são colocados sob baseline;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4. A situação dos itens de configuração e das baselines é registrada ao longo do tempo e disponibilizada;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5. Modificações em itens de configuração são controladas;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6. O armazenamento, o manuseio e a liberação de itens de configuração e baselines são controlados;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GCO 7. Auditorias de configuração são realizadas objetivamente para assegurar que as baselines e os itens de configuração estejam íntegros, completos e consistentes.</w:t>
      </w:r>
    </w:p>
    <w:p w:rsidR="00000000" w:rsidDel="00000000" w:rsidP="00000000" w:rsidRDefault="00000000" w:rsidRPr="00000000">
      <w:pPr>
        <w:pBdr/>
        <w:spacing w:after="220" w:before="220" w:line="360" w:lineRule="auto"/>
        <w:ind w:right="22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COMO SE DÁ O PROCESSO DE GERÊNCIA DE CONFIGURAÇÃO ?</w:t>
      </w:r>
    </w:p>
    <w:p w:rsidR="00000000" w:rsidDel="00000000" w:rsidP="00000000" w:rsidRDefault="00000000" w:rsidRPr="00000000">
      <w:pPr>
        <w:pBdr/>
        <w:spacing w:after="160" w:line="360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Os processos são descritos em termos de propósitos e resultados. O propósito descreve o objetivo geral a ser atingido durante a execução do processo. Os resultados esperados do processo estabelecem os resultados a serem obtidos com a efetiva implementação do processo. Estes resultados podem ser evidenciados por um artefato produzido ou uma herança significativa de estado ao se executar o processo</w:t>
      </w:r>
    </w:p>
    <w:p w:rsidR="00000000" w:rsidDel="00000000" w:rsidP="00000000" w:rsidRDefault="00000000" w:rsidRPr="00000000">
      <w:pPr>
        <w:pBdr/>
        <w:spacing w:after="0" w:line="360" w:lineRule="auto"/>
        <w:ind w:firstLine="432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firstLine="432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Atividades do Processo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Planejamento;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Definir ferramentas, equipamentos, estruturas de diretórios, repositórios e áreas de backup;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Definir política para utilização do ambiente;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Definir os papéis e responsabilidades;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Definir os baselines que serão estabelecidos;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Definir o cronograma das atividades;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Definir as políticas, procedimentos e padrões que guiarão as atividades.</w:t>
      </w:r>
    </w:p>
    <w:p w:rsidR="00000000" w:rsidDel="00000000" w:rsidP="00000000" w:rsidRDefault="00000000" w:rsidRPr="00000000">
      <w:pPr>
        <w:pBdr/>
        <w:spacing w:after="0" w:line="360" w:lineRule="auto"/>
        <w:ind w:firstLine="432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72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Ferramentas de gerência de configuração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mais utilizadas: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SVN – Subversion;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CVS – Concurrent Version System;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220" w:line="360" w:lineRule="auto"/>
        <w:ind w:left="720" w:right="220" w:hanging="360"/>
        <w:contextualSpacing w:val="1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GitHub;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ClearCase;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 Sourcesafe;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Trac.</w:t>
      </w:r>
    </w:p>
    <w:p w:rsidR="00000000" w:rsidDel="00000000" w:rsidP="00000000" w:rsidRDefault="00000000" w:rsidRPr="00000000">
      <w:pPr>
        <w:pBdr/>
        <w:spacing w:after="220" w:before="220" w:line="360" w:lineRule="auto"/>
        <w:ind w:right="220" w:firstLine="720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GITHUB</w:t>
      </w:r>
    </w:p>
    <w:p w:rsidR="00000000" w:rsidDel="00000000" w:rsidP="00000000" w:rsidRDefault="00000000" w:rsidRPr="00000000">
      <w:pPr>
        <w:pBdr/>
        <w:spacing w:after="0" w:line="360" w:lineRule="auto"/>
        <w:ind w:firstLine="709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GitHub é uma plataforma de desenvolvimento inspirada na sua forma de trabalhar. Do 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código aberto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ao </w:t>
      </w:r>
      <w:hyperlink r:id="rId12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t xml:space="preserve">negócio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, você pode hospedar e revisar código, gerenciar projetos e criar software junto com milhões de outros desenvolvedores.</w:t>
      </w:r>
    </w:p>
    <w:p w:rsidR="00000000" w:rsidDel="00000000" w:rsidP="00000000" w:rsidRDefault="00000000" w:rsidRPr="00000000">
      <w:pPr>
        <w:pBdr/>
        <w:spacing w:after="0" w:line="360" w:lineRule="auto"/>
        <w:ind w:firstLine="709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firstLine="709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0" w:firstLine="0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spacing w:line="360" w:lineRule="auto"/>
        <w:ind w:left="432" w:hanging="432"/>
        <w:rPr>
          <w:rFonts w:ascii="Arial" w:cs="Arial" w:eastAsia="Arial" w:hAnsi="Arial"/>
          <w:b w:val="0"/>
          <w:color w:val="00000a"/>
          <w:sz w:val="28"/>
          <w:szCs w:val="28"/>
        </w:rPr>
      </w:pPr>
      <w:bookmarkStart w:colFirst="0" w:colLast="0" w:name="_3dy6vkm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REFERÊ</w:t>
      </w:r>
      <w:r w:rsidDel="00000000" w:rsidR="00000000" w:rsidRPr="00000000">
        <w:rPr>
          <w:rFonts w:ascii="Arial" w:cs="Arial" w:eastAsia="Arial" w:hAnsi="Arial"/>
          <w:rtl w:val="0"/>
        </w:rPr>
        <w:t xml:space="preserve">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left="431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31" w:firstLine="0"/>
        <w:contextualSpacing w:val="0"/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http://homes.dcc.ufba.br/~esa/disciplinas/pdf/aula09.pdf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31" w:firstLine="0"/>
        <w:contextualSpacing w:val="0"/>
        <w:jc w:val="both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https://www.portalgsti.com.br/2016/11/item-de-configuracao-e-registro-de-configuracao.html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31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http://www.softex.br/wp-content/uploads/2013/07/MPS.BR_Guia_Geral_Software_2012.pdf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431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8" w:w="11906"/>
      <w:pgMar w:bottom="1134" w:top="1701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709" w:before="0" w:line="240" w:lineRule="auto"/>
      <w:contextualSpacing w:val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"/>
      <w:lvlJc w:val="left"/>
      <w:pPr>
        <w:ind w:left="576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864" w:firstLine="0"/>
      </w:pPr>
      <w:rPr/>
    </w:lvl>
    <w:lvl w:ilvl="4">
      <w:start w:val="1"/>
      <w:numFmt w:val="decimal"/>
      <w:lvlText w:val=""/>
      <w:lvlJc w:val="left"/>
      <w:pPr>
        <w:ind w:left="1008" w:firstLine="0"/>
      </w:pPr>
      <w:rPr/>
    </w:lvl>
    <w:lvl w:ilvl="5">
      <w:start w:val="1"/>
      <w:numFmt w:val="decimal"/>
      <w:lvlText w:val=""/>
      <w:lvlJc w:val="left"/>
      <w:pPr>
        <w:ind w:left="1152" w:firstLine="0"/>
      </w:pPr>
      <w:rPr/>
    </w:lvl>
    <w:lvl w:ilvl="6">
      <w:start w:val="1"/>
      <w:numFmt w:val="decimal"/>
      <w:lvlText w:val=""/>
      <w:lvlJc w:val="left"/>
      <w:pPr>
        <w:ind w:left="1296" w:firstLine="0"/>
      </w:pPr>
      <w:rPr/>
    </w:lvl>
    <w:lvl w:ilvl="7">
      <w:start w:val="1"/>
      <w:numFmt w:val="decimal"/>
      <w:lvlText w:val=""/>
      <w:lvlJc w:val="left"/>
      <w:pPr>
        <w:ind w:left="1440" w:firstLine="0"/>
      </w:pPr>
      <w:rPr/>
    </w:lvl>
    <w:lvl w:ilvl="8">
      <w:start w:val="1"/>
      <w:numFmt w:val="decimal"/>
      <w:lvlText w:val=""/>
      <w:lvlJc w:val="left"/>
      <w:pPr>
        <w:ind w:left="1584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80" w:before="120" w:line="240" w:lineRule="auto"/>
      <w:ind w:left="432" w:hanging="432"/>
    </w:pPr>
    <w:rPr>
      <w:rFonts w:ascii="Times New Roman" w:cs="Times New Roman" w:eastAsia="Times New Roman" w:hAnsi="Times New Roman"/>
      <w:b w:val="1"/>
      <w:color w:val="00000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240" w:before="240" w:line="276" w:lineRule="auto"/>
      <w:ind w:left="576" w:hanging="576"/>
    </w:pPr>
    <w:rPr>
      <w:rFonts w:ascii="Times New Roman" w:cs="Times New Roman" w:eastAsia="Times New Roman" w:hAnsi="Times New Roman"/>
      <w:b w:val="1"/>
      <w:color w:val="00000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240" w:before="240" w:line="276" w:lineRule="auto"/>
      <w:ind w:left="720" w:hanging="720"/>
    </w:pPr>
    <w:rPr>
      <w:rFonts w:ascii="Times New Roman" w:cs="Times New Roman" w:eastAsia="Times New Roman" w:hAnsi="Times New Roman"/>
      <w:b w:val="1"/>
      <w:color w:val="00000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200" w:line="276" w:lineRule="auto"/>
      <w:ind w:left="864" w:hanging="864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200" w:line="276" w:lineRule="auto"/>
      <w:ind w:left="1008" w:hanging="1008"/>
    </w:pPr>
    <w:rPr>
      <w:rFonts w:ascii="Cambria" w:cs="Cambria" w:eastAsia="Cambria" w:hAnsi="Cambria"/>
      <w:b w:val="0"/>
      <w:color w:val="243f6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200" w:line="276" w:lineRule="auto"/>
      <w:ind w:left="1152" w:hanging="1152"/>
    </w:pPr>
    <w:rPr>
      <w:rFonts w:ascii="Cambria" w:cs="Cambria" w:eastAsia="Cambria" w:hAnsi="Cambria"/>
      <w:b w:val="0"/>
      <w:i w:val="1"/>
      <w:color w:val="243f6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240" w:line="276" w:lineRule="auto"/>
    </w:pPr>
    <w:rPr>
      <w:rFonts w:ascii="Arial" w:cs="Arial" w:eastAsia="Arial" w:hAnsi="Arial"/>
      <w:b w:val="0"/>
      <w:color w:val="00000a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120" w:before="240" w:line="276" w:lineRule="auto"/>
    </w:pPr>
    <w:rPr>
      <w:rFonts w:ascii="Arial" w:cs="Arial" w:eastAsia="Arial" w:hAnsi="Arial"/>
      <w:b w:val="0"/>
      <w:i w:val="1"/>
      <w:color w:val="00000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pen-source" TargetMode="External"/><Relationship Id="rId10" Type="http://schemas.openxmlformats.org/officeDocument/2006/relationships/hyperlink" Target="https://www.portalgsti.com.br/2016/11/ativo-de-servico.html" TargetMode="External"/><Relationship Id="rId13" Type="http://schemas.openxmlformats.org/officeDocument/2006/relationships/hyperlink" Target="http://homes.dcc.ufba.br/~esa/disciplinas/pdf/aula09.pdf" TargetMode="External"/><Relationship Id="rId12" Type="http://schemas.openxmlformats.org/officeDocument/2006/relationships/hyperlink" Target="https://github.com/busin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www.portalgsti.com.br/2016/11/item-de-configuracao-e-registro-de-configuracao.html" TargetMode="External"/><Relationship Id="rId16" Type="http://schemas.openxmlformats.org/officeDocument/2006/relationships/footer" Target="footer2.xml"/><Relationship Id="rId5" Type="http://schemas.openxmlformats.org/officeDocument/2006/relationships/image" Target="media/image01.jpg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