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CellSpacing w:w="15" w:type="dxa"/>
        <w:tblInd w:w="-993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402"/>
        <w:gridCol w:w="1985"/>
        <w:gridCol w:w="3543"/>
      </w:tblGrid>
      <w:tr w:rsidR="00CF1911" w:rsidRPr="009E7509" w14:paraId="01B8E9F1" w14:textId="77777777" w:rsidTr="00CF1911">
        <w:trPr>
          <w:tblHeader/>
          <w:tblCellSpacing w:w="15" w:type="dxa"/>
        </w:trPr>
        <w:tc>
          <w:tcPr>
            <w:tcW w:w="1657" w:type="dxa"/>
            <w:tcBorders>
              <w:top w:val="nil"/>
              <w:bottom w:val="nil"/>
            </w:tcBorders>
            <w:hideMark/>
          </w:tcPr>
          <w:p w14:paraId="5D41B29D" w14:textId="77777777" w:rsidR="009E7509" w:rsidRPr="009E7509" w:rsidRDefault="009E7509" w:rsidP="00CF1911">
            <w:pPr>
              <w:ind w:left="99"/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Component</w:t>
            </w:r>
          </w:p>
        </w:tc>
        <w:tc>
          <w:tcPr>
            <w:tcW w:w="3372" w:type="dxa"/>
            <w:tcBorders>
              <w:top w:val="nil"/>
              <w:bottom w:val="nil"/>
            </w:tcBorders>
            <w:hideMark/>
          </w:tcPr>
          <w:p w14:paraId="3C6E1F8E" w14:textId="77777777" w:rsidR="009E7509" w:rsidRPr="009E7509" w:rsidRDefault="009E7509" w:rsidP="00CF1911">
            <w:pPr>
              <w:ind w:left="117"/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Description</w:t>
            </w:r>
          </w:p>
        </w:tc>
        <w:tc>
          <w:tcPr>
            <w:tcW w:w="1955" w:type="dxa"/>
            <w:tcBorders>
              <w:top w:val="nil"/>
              <w:bottom w:val="nil"/>
            </w:tcBorders>
            <w:hideMark/>
          </w:tcPr>
          <w:p w14:paraId="67BD615A" w14:textId="07C0B903" w:rsidR="009E7509" w:rsidRPr="009E7509" w:rsidRDefault="009E7509" w:rsidP="00CF1911">
            <w:pPr>
              <w:ind w:left="118" w:right="-496"/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Interpretation</w:t>
            </w:r>
          </w:p>
        </w:tc>
        <w:tc>
          <w:tcPr>
            <w:tcW w:w="3498" w:type="dxa"/>
            <w:tcBorders>
              <w:top w:val="nil"/>
              <w:bottom w:val="nil"/>
            </w:tcBorders>
            <w:hideMark/>
          </w:tcPr>
          <w:p w14:paraId="674CA092" w14:textId="77777777" w:rsidR="009E7509" w:rsidRPr="009E7509" w:rsidRDefault="009E7509" w:rsidP="00CF1911">
            <w:pPr>
              <w:ind w:left="11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  <w:t>Underlying source/input data</w:t>
            </w:r>
          </w:p>
        </w:tc>
      </w:tr>
      <w:tr w:rsidR="00CF1911" w:rsidRPr="009E7509" w14:paraId="32E557EF" w14:textId="77777777" w:rsidTr="00CF1911">
        <w:trPr>
          <w:tblCellSpacing w:w="15" w:type="dxa"/>
        </w:trPr>
        <w:tc>
          <w:tcPr>
            <w:tcW w:w="1657" w:type="dxa"/>
            <w:tcBorders>
              <w:top w:val="single" w:sz="4" w:space="0" w:color="auto"/>
              <w:bottom w:val="nil"/>
            </w:tcBorders>
            <w:hideMark/>
          </w:tcPr>
          <w:p w14:paraId="2DF3816B" w14:textId="77777777" w:rsidR="009E7509" w:rsidRPr="009E7509" w:rsidRDefault="009E7509" w:rsidP="00CF1911">
            <w:pPr>
              <w:ind w:left="99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Child dependency ratio</w:t>
            </w:r>
          </w:p>
        </w:tc>
        <w:tc>
          <w:tcPr>
            <w:tcW w:w="3372" w:type="dxa"/>
            <w:tcBorders>
              <w:top w:val="single" w:sz="4" w:space="0" w:color="auto"/>
              <w:bottom w:val="nil"/>
            </w:tcBorders>
            <w:hideMark/>
          </w:tcPr>
          <w:p w14:paraId="71B8A88F" w14:textId="610554A8" w:rsidR="009E7509" w:rsidRPr="009E7509" w:rsidRDefault="009E7509" w:rsidP="00CF1911">
            <w:pPr>
              <w:ind w:left="117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Ratio of children aged 0–14 to working-age population aged 15–64. Captures demographic dependency</w:t>
            </w: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  <w:tc>
          <w:tcPr>
            <w:tcW w:w="1955" w:type="dxa"/>
            <w:tcBorders>
              <w:top w:val="single" w:sz="4" w:space="0" w:color="auto"/>
              <w:bottom w:val="nil"/>
            </w:tcBorders>
            <w:hideMark/>
          </w:tcPr>
          <w:p w14:paraId="2E08834B" w14:textId="5D4A7205" w:rsidR="00CF1911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High values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indicate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</w:p>
          <w:p w14:paraId="542759C1" w14:textId="131BD6B4" w:rsidR="009E7509" w:rsidRPr="009E7509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high deprivation</w:t>
            </w:r>
          </w:p>
        </w:tc>
        <w:tc>
          <w:tcPr>
            <w:tcW w:w="3498" w:type="dxa"/>
            <w:tcBorders>
              <w:top w:val="single" w:sz="4" w:space="0" w:color="auto"/>
              <w:bottom w:val="nil"/>
            </w:tcBorders>
            <w:hideMark/>
          </w:tcPr>
          <w:p w14:paraId="04AB18DC" w14:textId="77777777" w:rsidR="009E7509" w:rsidRPr="009E7509" w:rsidRDefault="009E7509" w:rsidP="00CF1911">
            <w:pPr>
              <w:ind w:left="110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GPWv4 Basic Demographic Characteristics (CIESIN, 2010)</w:t>
            </w:r>
          </w:p>
        </w:tc>
      </w:tr>
      <w:tr w:rsidR="00CF1911" w:rsidRPr="009E7509" w14:paraId="20EDE5C0" w14:textId="77777777" w:rsidTr="00CF1911">
        <w:trPr>
          <w:tblCellSpacing w:w="15" w:type="dxa"/>
        </w:trPr>
        <w:tc>
          <w:tcPr>
            <w:tcW w:w="1657" w:type="dxa"/>
            <w:tcBorders>
              <w:top w:val="single" w:sz="4" w:space="0" w:color="auto"/>
              <w:bottom w:val="nil"/>
            </w:tcBorders>
            <w:hideMark/>
          </w:tcPr>
          <w:p w14:paraId="38DB9D5F" w14:textId="77777777" w:rsidR="00CF1911" w:rsidRDefault="009E7509" w:rsidP="00CF1911">
            <w:pPr>
              <w:ind w:left="99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Infant mortality </w:t>
            </w:r>
          </w:p>
          <w:p w14:paraId="236B4584" w14:textId="294AE262" w:rsidR="009E7509" w:rsidRPr="009E7509" w:rsidRDefault="009E7509" w:rsidP="00CF1911">
            <w:pPr>
              <w:ind w:left="99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rate</w:t>
            </w:r>
          </w:p>
        </w:tc>
        <w:tc>
          <w:tcPr>
            <w:tcW w:w="3372" w:type="dxa"/>
            <w:tcBorders>
              <w:top w:val="single" w:sz="4" w:space="0" w:color="auto"/>
              <w:bottom w:val="nil"/>
            </w:tcBorders>
            <w:hideMark/>
          </w:tcPr>
          <w:p w14:paraId="65569CB0" w14:textId="10D88E03" w:rsidR="009E7509" w:rsidRPr="009E7509" w:rsidRDefault="009E7509" w:rsidP="00CF1911">
            <w:pPr>
              <w:ind w:left="117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Number of deaths of children under age 1 per 1,000 live births. Used as an indicator of population health.</w:t>
            </w:r>
          </w:p>
        </w:tc>
        <w:tc>
          <w:tcPr>
            <w:tcW w:w="1955" w:type="dxa"/>
            <w:tcBorders>
              <w:top w:val="single" w:sz="4" w:space="0" w:color="auto"/>
              <w:bottom w:val="nil"/>
            </w:tcBorders>
            <w:hideMark/>
          </w:tcPr>
          <w:p w14:paraId="30A33389" w14:textId="52EB4DB3" w:rsidR="00CF1911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High values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indicate</w:t>
            </w:r>
          </w:p>
          <w:p w14:paraId="46C5ED92" w14:textId="17A1AE2A" w:rsidR="009E7509" w:rsidRPr="009E7509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high deprivation</w:t>
            </w:r>
          </w:p>
        </w:tc>
        <w:tc>
          <w:tcPr>
            <w:tcW w:w="3498" w:type="dxa"/>
            <w:tcBorders>
              <w:top w:val="single" w:sz="4" w:space="0" w:color="auto"/>
              <w:bottom w:val="nil"/>
            </w:tcBorders>
            <w:hideMark/>
          </w:tcPr>
          <w:p w14:paraId="3237C784" w14:textId="77777777" w:rsidR="009E7509" w:rsidRPr="009E7509" w:rsidRDefault="009E7509" w:rsidP="00CF1911">
            <w:pPr>
              <w:ind w:left="110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Global Subnational Infant Mortality Rates v2.01 (CIESIN, 2015)</w:t>
            </w:r>
          </w:p>
        </w:tc>
      </w:tr>
      <w:tr w:rsidR="00CF1911" w:rsidRPr="009E7509" w14:paraId="7AF2AFBB" w14:textId="77777777" w:rsidTr="00CF1911">
        <w:trPr>
          <w:tblCellSpacing w:w="15" w:type="dxa"/>
        </w:trPr>
        <w:tc>
          <w:tcPr>
            <w:tcW w:w="1657" w:type="dxa"/>
            <w:tcBorders>
              <w:top w:val="single" w:sz="4" w:space="0" w:color="auto"/>
              <w:bottom w:val="nil"/>
            </w:tcBorders>
            <w:hideMark/>
          </w:tcPr>
          <w:p w14:paraId="6193C593" w14:textId="023C38BD" w:rsidR="009E7509" w:rsidRPr="009E7509" w:rsidRDefault="009E7509" w:rsidP="00CF1911">
            <w:pPr>
              <w:ind w:left="99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Subnational Human Development Index</w:t>
            </w:r>
          </w:p>
        </w:tc>
        <w:tc>
          <w:tcPr>
            <w:tcW w:w="3372" w:type="dxa"/>
            <w:tcBorders>
              <w:top w:val="single" w:sz="4" w:space="0" w:color="auto"/>
              <w:bottom w:val="nil"/>
            </w:tcBorders>
            <w:hideMark/>
          </w:tcPr>
          <w:p w14:paraId="7D0F7589" w14:textId="0F438CB0" w:rsidR="009E7509" w:rsidRPr="009E7509" w:rsidRDefault="009E7509" w:rsidP="00CF1911">
            <w:pPr>
              <w:ind w:left="117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M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easure of human well-being based on education, healt</w:t>
            </w: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h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and </w:t>
            </w: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living 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standard at subnational level.</w:t>
            </w:r>
          </w:p>
        </w:tc>
        <w:tc>
          <w:tcPr>
            <w:tcW w:w="1955" w:type="dxa"/>
            <w:tcBorders>
              <w:top w:val="single" w:sz="4" w:space="0" w:color="auto"/>
              <w:bottom w:val="nil"/>
            </w:tcBorders>
            <w:hideMark/>
          </w:tcPr>
          <w:p w14:paraId="48C81212" w14:textId="77777777" w:rsidR="00CF1911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Low values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indicate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</w:p>
          <w:p w14:paraId="551D0081" w14:textId="6985B044" w:rsidR="009E7509" w:rsidRPr="009E7509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high deprivation</w:t>
            </w:r>
          </w:p>
        </w:tc>
        <w:tc>
          <w:tcPr>
            <w:tcW w:w="3498" w:type="dxa"/>
            <w:tcBorders>
              <w:top w:val="single" w:sz="4" w:space="0" w:color="auto"/>
              <w:bottom w:val="nil"/>
            </w:tcBorders>
            <w:hideMark/>
          </w:tcPr>
          <w:p w14:paraId="54A938BE" w14:textId="76F82860" w:rsidR="009E7509" w:rsidRPr="009E7509" w:rsidRDefault="009E7509" w:rsidP="00CF1911">
            <w:pPr>
              <w:ind w:left="110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Subnational Human Development Index v4.0 (Global Data Lab, 2018); supplemented by gridded HDI data </w:t>
            </w:r>
          </w:p>
        </w:tc>
      </w:tr>
      <w:tr w:rsidR="00CF1911" w:rsidRPr="009E7509" w14:paraId="09F7BCBA" w14:textId="77777777" w:rsidTr="00CF1911">
        <w:trPr>
          <w:tblCellSpacing w:w="15" w:type="dxa"/>
        </w:trPr>
        <w:tc>
          <w:tcPr>
            <w:tcW w:w="1657" w:type="dxa"/>
            <w:tcBorders>
              <w:top w:val="single" w:sz="4" w:space="0" w:color="auto"/>
              <w:bottom w:val="nil"/>
            </w:tcBorders>
            <w:hideMark/>
          </w:tcPr>
          <w:p w14:paraId="4B4C898D" w14:textId="77777777" w:rsidR="009E7509" w:rsidRPr="009E7509" w:rsidRDefault="009E7509" w:rsidP="00CF1911">
            <w:pPr>
              <w:ind w:left="99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Built area</w:t>
            </w:r>
          </w:p>
        </w:tc>
        <w:tc>
          <w:tcPr>
            <w:tcW w:w="3372" w:type="dxa"/>
            <w:tcBorders>
              <w:top w:val="single" w:sz="4" w:space="0" w:color="auto"/>
              <w:bottom w:val="nil"/>
            </w:tcBorders>
            <w:hideMark/>
          </w:tcPr>
          <w:p w14:paraId="5245C05C" w14:textId="42CE9C82" w:rsidR="009E7509" w:rsidRPr="009E7509" w:rsidRDefault="009E7509" w:rsidP="00CF1911">
            <w:pPr>
              <w:ind w:left="117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Ratio of built-up to non-built-up area</w:t>
            </w: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. C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apture</w:t>
            </w: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s 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settlement intensity and infrastructural development.</w:t>
            </w:r>
          </w:p>
        </w:tc>
        <w:tc>
          <w:tcPr>
            <w:tcW w:w="1955" w:type="dxa"/>
            <w:tcBorders>
              <w:top w:val="single" w:sz="4" w:space="0" w:color="auto"/>
              <w:bottom w:val="nil"/>
            </w:tcBorders>
            <w:hideMark/>
          </w:tcPr>
          <w:p w14:paraId="3EF57610" w14:textId="77777777" w:rsidR="00CF1911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Low values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indicate </w:t>
            </w:r>
          </w:p>
          <w:p w14:paraId="58F176F7" w14:textId="18D5038A" w:rsidR="009E7509" w:rsidRPr="009E7509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high deprivation</w:t>
            </w:r>
          </w:p>
        </w:tc>
        <w:tc>
          <w:tcPr>
            <w:tcW w:w="3498" w:type="dxa"/>
            <w:tcBorders>
              <w:top w:val="single" w:sz="4" w:space="0" w:color="auto"/>
              <w:bottom w:val="nil"/>
            </w:tcBorders>
            <w:hideMark/>
          </w:tcPr>
          <w:p w14:paraId="426DD100" w14:textId="2F485D97" w:rsidR="009E7509" w:rsidRPr="009E7509" w:rsidRDefault="009E7509" w:rsidP="00CF1911">
            <w:pPr>
              <w:ind w:left="110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High-Resolution Settlement Layer; Microsoft Canadian Building Footprints; Ecopia building maps 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(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sub-Saharan Africa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)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; OpenStreetMap </w:t>
            </w:r>
          </w:p>
        </w:tc>
      </w:tr>
      <w:tr w:rsidR="00CF1911" w:rsidRPr="009E7509" w14:paraId="1F07AE04" w14:textId="77777777" w:rsidTr="00CF1911">
        <w:trPr>
          <w:tblCellSpacing w:w="15" w:type="dxa"/>
        </w:trPr>
        <w:tc>
          <w:tcPr>
            <w:tcW w:w="1657" w:type="dxa"/>
            <w:tcBorders>
              <w:top w:val="single" w:sz="4" w:space="0" w:color="auto"/>
              <w:bottom w:val="nil"/>
            </w:tcBorders>
            <w:hideMark/>
          </w:tcPr>
          <w:p w14:paraId="000FE93E" w14:textId="1A7F862B" w:rsidR="009E7509" w:rsidRPr="009E7509" w:rsidRDefault="009E7509" w:rsidP="00CF1911">
            <w:pPr>
              <w:ind w:left="99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Night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time lights intensity</w:t>
            </w:r>
          </w:p>
        </w:tc>
        <w:tc>
          <w:tcPr>
            <w:tcW w:w="3372" w:type="dxa"/>
            <w:tcBorders>
              <w:top w:val="single" w:sz="4" w:space="0" w:color="auto"/>
              <w:bottom w:val="nil"/>
            </w:tcBorders>
            <w:hideMark/>
          </w:tcPr>
          <w:p w14:paraId="7D738F71" w14:textId="2561B17A" w:rsidR="009E7509" w:rsidRPr="009E7509" w:rsidRDefault="009E7509" w:rsidP="00CF1911">
            <w:pPr>
              <w:ind w:left="117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Average intensity of VIIRS night-time lights, used as a proxy for economic activity and infrastructure</w:t>
            </w: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  <w:tc>
          <w:tcPr>
            <w:tcW w:w="1955" w:type="dxa"/>
            <w:tcBorders>
              <w:top w:val="single" w:sz="4" w:space="0" w:color="auto"/>
              <w:bottom w:val="nil"/>
            </w:tcBorders>
            <w:hideMark/>
          </w:tcPr>
          <w:p w14:paraId="29338012" w14:textId="77777777" w:rsidR="00CF1911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Low values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indicate</w:t>
            </w:r>
          </w:p>
          <w:p w14:paraId="5552CA6D" w14:textId="2EBD24A4" w:rsidR="009E7509" w:rsidRPr="009E7509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high deprivatio</w:t>
            </w: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</w:p>
        </w:tc>
        <w:tc>
          <w:tcPr>
            <w:tcW w:w="3498" w:type="dxa"/>
            <w:tcBorders>
              <w:top w:val="single" w:sz="4" w:space="0" w:color="auto"/>
              <w:bottom w:val="nil"/>
            </w:tcBorders>
            <w:hideMark/>
          </w:tcPr>
          <w:p w14:paraId="284250A0" w14:textId="77777777" w:rsidR="00CF1911" w:rsidRDefault="009E7509" w:rsidP="00CF1911">
            <w:pPr>
              <w:ind w:left="110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VIIRS Nighttime Lights (VNL) v2.0, average </w:t>
            </w:r>
          </w:p>
          <w:p w14:paraId="642CA01F" w14:textId="063B33E3" w:rsidR="009E7509" w:rsidRPr="009E7509" w:rsidRDefault="009E7509" w:rsidP="00CF1911">
            <w:pPr>
              <w:ind w:left="110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for 2020</w:t>
            </w:r>
          </w:p>
        </w:tc>
      </w:tr>
      <w:tr w:rsidR="00CF1911" w:rsidRPr="009E7509" w14:paraId="356B5A75" w14:textId="77777777" w:rsidTr="00CF1911">
        <w:trPr>
          <w:tblCellSpacing w:w="15" w:type="dxa"/>
        </w:trPr>
        <w:tc>
          <w:tcPr>
            <w:tcW w:w="1657" w:type="dxa"/>
            <w:hideMark/>
          </w:tcPr>
          <w:p w14:paraId="04AB8063" w14:textId="77777777" w:rsidR="009E7509" w:rsidRPr="009E7509" w:rsidRDefault="009E7509" w:rsidP="00CF1911">
            <w:pPr>
              <w:ind w:left="99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Night-time lights slope</w:t>
            </w:r>
          </w:p>
        </w:tc>
        <w:tc>
          <w:tcPr>
            <w:tcW w:w="3372" w:type="dxa"/>
            <w:hideMark/>
          </w:tcPr>
          <w:p w14:paraId="4268FA88" w14:textId="5005C351" w:rsidR="009E7509" w:rsidRPr="009E7509" w:rsidRDefault="009E7509" w:rsidP="00CF1911">
            <w:pPr>
              <w:ind w:left="117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Slope from linear regression of annual VIIRS night-time lights values over 2012–2020, capturing brightness 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changes 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over time.</w:t>
            </w:r>
          </w:p>
        </w:tc>
        <w:tc>
          <w:tcPr>
            <w:tcW w:w="1955" w:type="dxa"/>
            <w:hideMark/>
          </w:tcPr>
          <w:p w14:paraId="2404D42A" w14:textId="2E1C9B92" w:rsidR="00CF1911" w:rsidRDefault="009E7509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Lo</w:t>
            </w: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w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/</w:t>
            </w: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negative values</w:t>
            </w:r>
            <w:r w:rsidR="00CF1911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</w:p>
          <w:p w14:paraId="505FFF75" w14:textId="64ABD35E" w:rsidR="009E7509" w:rsidRPr="009E7509" w:rsidRDefault="00CF1911" w:rsidP="00CF1911">
            <w:pPr>
              <w:ind w:left="118" w:right="-496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indicate high</w:t>
            </w:r>
            <w:r w:rsidR="009E7509"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 xml:space="preserve"> deprivatio</w:t>
            </w:r>
            <w:r w:rsid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</w:p>
        </w:tc>
        <w:tc>
          <w:tcPr>
            <w:tcW w:w="3498" w:type="dxa"/>
            <w:hideMark/>
          </w:tcPr>
          <w:p w14:paraId="0DD8135C" w14:textId="77777777" w:rsidR="009E7509" w:rsidRPr="009E7509" w:rsidRDefault="009E7509" w:rsidP="00CF1911">
            <w:pPr>
              <w:ind w:left="110"/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9E7509">
              <w:rPr>
                <w:rFonts w:ascii="Calibri" w:eastAsia="Times New Roman" w:hAnsi="Calibri" w:cs="Calibri"/>
                <w:b w:val="0"/>
                <w:bCs w:val="0"/>
                <w:kern w:val="0"/>
                <w:sz w:val="18"/>
                <w:szCs w:val="18"/>
                <w:lang w:eastAsia="en-GB"/>
                <w14:ligatures w14:val="none"/>
              </w:rPr>
              <w:t>VIIRS Nighttime Lights (VNL) v2.0, annual series 2012–2020</w:t>
            </w:r>
          </w:p>
        </w:tc>
      </w:tr>
    </w:tbl>
    <w:p w14:paraId="66556490" w14:textId="77777777" w:rsidR="00B71774" w:rsidRDefault="00B71774"/>
    <w:p w14:paraId="5F9E7FFA" w14:textId="77777777" w:rsidR="00AC797A" w:rsidRDefault="00AC797A"/>
    <w:p w14:paraId="4D5C623D" w14:textId="77777777" w:rsidR="00AC797A" w:rsidRDefault="00AC797A"/>
    <w:p w14:paraId="449E5550" w14:textId="77777777" w:rsidR="00AC797A" w:rsidRDefault="00AC797A"/>
    <w:p w14:paraId="5111015A" w14:textId="77777777" w:rsidR="00AC797A" w:rsidRDefault="00AC797A"/>
    <w:p w14:paraId="4EF2276D" w14:textId="77777777" w:rsidR="00AC797A" w:rsidRDefault="00AC797A"/>
    <w:sectPr w:rsidR="00AC7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09"/>
    <w:rsid w:val="0036254A"/>
    <w:rsid w:val="005704A3"/>
    <w:rsid w:val="008665C3"/>
    <w:rsid w:val="00870246"/>
    <w:rsid w:val="008C0DD5"/>
    <w:rsid w:val="009E7509"/>
    <w:rsid w:val="00AC797A"/>
    <w:rsid w:val="00B71774"/>
    <w:rsid w:val="00C60CEC"/>
    <w:rsid w:val="00CF1911"/>
    <w:rsid w:val="00E75A71"/>
    <w:rsid w:val="00E9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8440B"/>
  <w15:chartTrackingRefBased/>
  <w15:docId w15:val="{AEF10220-9510-5A4E-95BD-1FC6F500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Body CS)"/>
        <w:b/>
        <w:bCs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5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5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0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275</Words>
  <Characters>1284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Cabrera, Carmen</cp:lastModifiedBy>
  <cp:revision>2</cp:revision>
  <dcterms:created xsi:type="dcterms:W3CDTF">2026-04-02T10:36:00Z</dcterms:created>
  <dcterms:modified xsi:type="dcterms:W3CDTF">2026-04-02T19:55:00Z</dcterms:modified>
</cp:coreProperties>
</file>