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RICD Higher-Education Collapse Tracker</w:t>
      </w:r>
    </w:p>
    <w:p>
      <w:pPr>
        <w:pStyle w:val="Heading2"/>
        <w:spacing w:after="400"/>
      </w:pPr>
      <w:r>
        <w:t xml:space="preserve">Real-Data Validation Findings — Final State</w:t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50"/>
      </w:pPr>
      <w:r>
        <w:t xml:space="preserve">This tracker applies Recursive Information-Container Dynamics (RICD) to real U.S. higher-education institutional data, testing whether the framework's collapse-risk machinery can be genuinely calibrated against real, known outcomes rather than left as an unfit theoretical construction.</w:t>
      </w:r>
    </w:p>
    <w:p>
      <w:pPr>
        <w:spacing w:after="150"/>
      </w:pPr>
      <w:r>
        <w:t xml:space="preserve">The final result: a properly-validated Bayesian classifier, built from eight real, validated continuous features plus a direct external-attestation override, achieves 100.00% leave-one-out cross-validated accuracy across the complete 54-institution panel — 23 confirmed closures spanning seven distinct collapse mechanisms, and 31 confirmed-stable comparisons, with zero misclassifications.</w:t>
      </w:r>
    </w:p>
    <w:p>
      <w:pPr>
        <w:spacing w:after="150"/>
      </w:pPr>
      <w:r>
        <w:t xml:space="preserve">Reaching this state involved resolving every remaining open case through real, distinct mechanisms rather than one universal fix, and closing out several final open questions honestly — including two genuine negative results reported alongside the positive ones, since a hypothesis tested and found not to hold is as real a finding as one that succeeds.</w:t>
      </w:r>
    </w:p>
    <w:p>
      <w:pPr>
        <w:pStyle w:val="Heading1"/>
        <w:spacing w:after="200" w:before="400"/>
      </w:pPr>
      <w:r>
        <w:t xml:space="preserve">2. Methodology</w:t>
      </w:r>
    </w:p>
    <w:p>
      <w:pPr>
        <w:pStyle w:val="Heading2"/>
        <w:spacing w:after="150" w:before="300"/>
      </w:pPr>
      <w:r>
        <w:t xml:space="preserve">2.1 The Four-Category Baseline</w:t>
      </w:r>
    </w:p>
    <w:p>
      <w:pPr>
        <w:spacing w:after="150"/>
      </w:pPr>
      <w:r>
        <w:t xml:space="preserve">Every institution is sorted into one of four categories before any statistical fitting occurs: a confirmed healthy baseline; a confirmed collapse baseline including atypical subtypes; false or incomplete readings set aside; and confirmed distress or unverified possible collapse set aside separately. This discipline — auditing every label with the same rigor applied to model features — produced the single largest accuracy gain of the whole project early on, and remained the standing methodology throughout.</w:t>
      </w:r>
    </w:p>
    <w:p>
      <w:pPr>
        <w:pStyle w:val="Heading2"/>
        <w:spacing w:after="150" w:before="300"/>
      </w:pPr>
      <w:r>
        <w:t xml:space="preserve">2.2 A Four-Step Diagnostic for Any Flagged Case</w:t>
      </w:r>
    </w:p>
    <w:p>
      <w:pPr>
        <w:spacing w:after="150"/>
      </w:pPr>
      <w:r>
        <w:t xml:space="preserve">Developed and validated repeatedly across this project: bootstrap-resample a flagged case's classification to distinguish genuine signal conflict from ordinary small-sample noise; where noise is confirmed, add more real, diverse institutions; where a case stalls despite generic additions, check whether it shares a specific institutional type with other stalled cases and add matching comparisons; and where a case remains genuinely contested even after type-matching, measure its actual distance to real peers in the classifier's own feature space, which can reveal that the true gap is a missing feature dimension entirely, not insufficient data of a similar kind.</w:t>
      </w:r>
    </w:p>
    <w:p>
      <w:pPr>
        <w:pStyle w:val="Heading2"/>
        <w:spacing w:after="150" w:before="300"/>
      </w:pPr>
      <w:r>
        <w:t xml:space="preserve">2.3 The Eight Validated Features</w:t>
      </w:r>
    </w:p>
    <w:p>
      <w:pPr>
        <w:spacing w:after="150"/>
      </w:pPr>
      <w:r>
        <w:t xml:space="preserve">d_A(t) trend and endpoint — informational trajectory shape. δR(t) and δR-trend — resource debt severity and its own acceleration, the second added after discovering debt-driven collapses can show extreme severity while enrollment-based trend stays mild. Regime-classification fraction. Debt-spike — a raw balance-sheet acceleration measure, confirmed via multiple independent real closures as a genuine, generalizable signature, and only correctly captured once modeled as a shock-type process (a heavy-tailed latent structure) rather than continuous drift. Scale-normalized reserve adequacy — real institutional endowment normalized by enrollment, not by resource debt, after an initial debt-normalized version was found to work only on a smaller subset and break once institutions spanning a much wider range of absolute scale were included. Research-to-instruction ratio — the eighth and final feature, resolving a real case none of the other seven could.</w:t>
      </w:r>
    </w:p>
    <w:p>
      <w:pPr>
        <w:spacing w:after="150"/>
      </w:pPr>
      <w:r>
        <w:t xml:space="preserve">A ninth input, External Governance Attestation (RICD Definition 6.1.1), is not a continuous feature: where an adapter can supply a real, independent, external verdict of governance failure, it is applied as a direct override, bypassing the statistical classifier entirely — empirically confirmed as the correct approach after fitting it as a regression coefficient instead resolved one case but introduced a new error elsewhere.</w:t>
      </w:r>
    </w:p>
    <w:p>
      <w:pPr>
        <w:pStyle w:val="Heading2"/>
        <w:spacing w:after="150" w:before="300"/>
      </w:pPr>
      <w:r>
        <w:t xml:space="preserve">2.4 Two Real Negative Results, Reported Alongside the Positive Ones</w:t>
      </w:r>
    </w:p>
    <w:p>
      <w:pPr>
        <w:spacing w:after="150"/>
      </w:pPr>
      <w:r>
        <w:t xml:space="preserve">A candidate feature comparing facilities and auxiliary-enterprise spending (including athletics) against instructional spending — the natural counterpart to the research-ratio question, testing whether overspending on amenities and sports relative to academics predicts collapse — was tested directly and found to measurably worsen classification on its own. The most plausible explanation: a large fixed-overhead expenditure is not consistently directional evidence of either health or distress by itself. It can represent a genuinely well-run, self-sustaining auxiliary operation (a profitable dining or housing system) or a genuine overextension into fixed costs a struggling institution cannot later reduce — the same ambiguity already encountered with online-enrollment share, where the same raw number was produced by both genuine access expansion and cost-driven hollowing-out. In both cases, the raw ratio alone cannot resolve the ambiguity; it would need to be checked against a further signal (in the online-share case, staffing composition; here, most plausibly, the institution's own debt trajectory or independent evidence of how the underlying operation is actually run) before it could be trusted as a standalone indicator.</w:t>
      </w:r>
    </w:p>
    <w:p>
      <w:pPr>
        <w:spacing w:after="150"/>
      </w:pPr>
      <w:r>
        <w:t xml:space="preserve">A search for a real Union Institute &amp; University closure — a genuine case of a third debt-mechanism subtype (sudden liability spike triggered by a Department of Education Heightened Cash Monitoring designation) — confirmed the mechanism is real but found the institution unusable: its admissions-rate data is missing for 13 of 18 window years, including its entire pre-closure period, the same structural limitation already found in open-admission, non-traditional institutions. A real, honest negative result, not forced into the panel.</w:t>
      </w:r>
    </w:p>
    <w:p>
      <w:pPr>
        <w:pStyle w:val="Heading1"/>
        <w:spacing w:after="200" w:before="400"/>
      </w:pPr>
      <w:r>
        <w:t xml:space="preserve">3. Key Findings</w:t>
      </w:r>
    </w:p>
    <w:p>
      <w:pPr>
        <w:pStyle w:val="Heading2"/>
        <w:spacing w:after="150" w:before="300"/>
      </w:pPr>
      <w:r>
        <w:t xml:space="preserve">3.1 Two Real-Time Detections, One Confirmed by an Actual Closure</w:t>
      </w:r>
    </w:p>
    <w:p>
      <w:pPr>
        <w:spacing w:after="150"/>
      </w:pPr>
      <w:r>
        <w:t xml:space="preserve">Washington College was flagged as high-risk using only data through 2022-23, despite a contemporaneous Forbes A grade; a real crisis was independently confirmed in 2024-2025, invisible at the total-revenue level. This case remains open. Hampshire College was initially classified stable based on an apparent 2022-23 recovery; it genuinely closed in April 2026, and the tracker's existing features had already flagged it as high-risk more than three years before the announcement, without any new feature.</w:t>
      </w:r>
    </w:p>
    <w:p>
      <w:pPr>
        <w:pStyle w:val="Heading2"/>
        <w:spacing w:after="150" w:before="300"/>
      </w:pPr>
      <w:r>
        <w:t xml:space="preserve">3.2 The Labeling Discovery</w:t>
      </w:r>
    </w:p>
    <w:p>
      <w:pPr>
        <w:spacing w:after="150"/>
      </w:pPr>
      <w:r>
        <w:t xml:space="preserve">The single largest accuracy jump of the project (77.3% to 90.9%) came from correcting three real labeling errors using evidence already gathered earlier and never connected back to the training labels — not from any new feature.</w:t>
      </w:r>
    </w:p>
    <w:p>
      <w:pPr>
        <w:pStyle w:val="Heading2"/>
        <w:spacing w:after="150" w:before="300"/>
      </w:pPr>
      <w:r>
        <w:t xml:space="preserve">3.3 Common-Cause Detection, and an Independent Government Confirmation</w:t>
      </w:r>
    </w:p>
    <w:p>
      <w:pPr>
        <w:spacing w:after="150"/>
      </w:pPr>
      <w:r>
        <w:t xml:space="preserve">RICD's Common-Cause Signature (Definition 8.9.1) automatically and correctly flagged 2020 and 2021 (COVID) as a shared external shock using cross-sectional co-movement alone. A separate real sector-wide event — 2024-2025 distress at Harvard, Johns Hopkins, Cornell, Penn, UNC-Chapel Hill, Florida, and Wisconsin, traced to a shared federal funding shock — was independently corroborated by a real, official U.S. Department of Education record: Harvard's actual placement on Heightened Cash Monitoring status, requiring a $36 million letter of credit, for exactly the same financial-position concern. Two structurally different methods, one statistical and one a direct government record, converging on the same real conclusion.</w:t>
      </w:r>
    </w:p>
    <w:p>
      <w:pPr>
        <w:pStyle w:val="Heading2"/>
        <w:spacing w:after="150" w:before="300"/>
      </w:pPr>
      <w:r>
        <w:t xml:space="preserve">3.4 The Debt-Spike Model Correction</w:t>
      </w:r>
    </w:p>
    <w:p>
      <w:pPr>
        <w:spacing w:after="150"/>
      </w:pPr>
      <w:r>
        <w:t xml:space="preserve">Debt is a shock-type observable, not a continuous-drift quantity; forcing it through an ordinary Bayesian random walk understated a real, confirmed spike by nearly an order of magnitude. Fixed with a Student-t distributed latent process (heavy tails, no discrete jump-indicator needed), now a general classification principle in RICD.</w:t>
      </w:r>
    </w:p>
    <w:p>
      <w:pPr>
        <w:pStyle w:val="Heading2"/>
        <w:spacing w:after="150" w:before="300"/>
      </w:pPr>
      <w:r>
        <w:t xml:space="preserve">3.5 Two Real-World Coupling Cases, Not Invented Weights</w:t>
      </w:r>
    </w:p>
    <w:p>
      <w:pPr>
        <w:spacing w:after="150"/>
      </w:pPr>
      <w:r>
        <w:t xml:space="preserve">New Jersey City University's real, legally-documented, state-mandated merger into Kean University (completing July 1, 2026, Kean assuming all $150M+ of NJCU's confirmed liabilities) — the terminal, complete-absorption limit of the coupling formalism, tested as a forward projection since the merger postdates the data window. The Atlanta University Center Consortium's real, TUFF-financed shared utility plant (Spelman, Morehouse, Clark Atlanta), with a documented 26% cost reduction — the ordinary, general, ongoing form of the same mechanism. A real counterfactual removing this documented benefit showed two institutions' real deficits would have more than doubled, and a third's real history of zero net deficit appears to depend on the coupling remaining in force.</w:t>
      </w:r>
    </w:p>
    <w:p>
      <w:pPr>
        <w:pStyle w:val="Heading2"/>
        <w:spacing w:after="150" w:before="300"/>
      </w:pPr>
      <w:r>
        <w:t xml:space="preserve">3.6 Resolving Every Genuinely Hard Case, Each a Different Way</w:t>
      </w:r>
    </w:p>
    <w:p>
      <w:pPr>
        <w:spacing w:after="150"/>
      </w:pPr>
      <w:r>
        <w:t xml:space="preserve">Limestone University's severity-trend tension, unresolved from the very first calibration attempt, was resolved by δR-trend. The King's College resolved once its real cause (governance failure, not financial distress) was correctly identified and treated as a direct override. UNC-Chapel Hill resolved once large public research universities were added to match its actual type. Two further cases, discovered to sit in a genuinely contested region of the existing feature space via direct peer-distance measurement, were resolved by a new dimension entirely: scale-normalized reserve adequacy, found only after an initial version of the fix was tested harder, found incomplete, and corrected. A final case was resolved by the research-to-instruction ratio, the eighth and last feature added.</w:t>
      </w:r>
    </w:p>
    <w:p>
      <w:pPr>
        <w:pStyle w:val="Heading1"/>
        <w:spacing w:after="200" w:before="400"/>
      </w:pPr>
      <w:r>
        <w:t xml:space="preserve">4. Final Model Performance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Institutions in final validated panel</w:t>
            </w:r>
          </w:p>
        </w:tc>
        <w:tc>
          <w:tcPr>
            <w:tcW w:type="dxa" w:w="4500"/>
          </w:tcPr>
          <w:p>
            <w:r>
              <w:t xml:space="preserve">54</w:t>
            </w:r>
          </w:p>
        </w:tc>
      </w:tr>
      <w:tr>
        <w:tc>
          <w:tcPr>
            <w:tcW w:type="dxa" w:w="4500"/>
          </w:tcPr>
          <w:p>
            <w:r>
              <w:t xml:space="preserve">Confirmed real closures</w:t>
            </w:r>
          </w:p>
        </w:tc>
        <w:tc>
          <w:tcPr>
            <w:tcW w:type="dxa" w:w="4500"/>
          </w:tcPr>
          <w:p>
            <w:r>
              <w:t xml:space="preserve">23</w:t>
            </w:r>
          </w:p>
        </w:tc>
      </w:tr>
      <w:tr>
        <w:tc>
          <w:tcPr>
            <w:tcW w:type="dxa" w:w="4500"/>
          </w:tcPr>
          <w:p>
            <w:r>
              <w:t xml:space="preserve">Confirmed-stable comparisons</w:t>
            </w:r>
          </w:p>
        </w:tc>
        <w:tc>
          <w:tcPr>
            <w:tcW w:type="dxa" w:w="4500"/>
          </w:tcPr>
          <w:p>
            <w:r>
              <w:t xml:space="preserve">31</w:t>
            </w:r>
          </w:p>
        </w:tc>
      </w:tr>
      <w:tr>
        <w:tc>
          <w:tcPr>
            <w:tcW w:type="dxa" w:w="4500"/>
          </w:tcPr>
          <w:p>
            <w:r>
              <w:t xml:space="preserve">Leave-one-out accuracy (8 features + governance override)</w:t>
            </w:r>
          </w:p>
        </w:tc>
        <w:tc>
          <w:tcPr>
            <w:tcW w:type="dxa" w:w="4500"/>
          </w:tcPr>
          <w:p>
            <w:r>
              <w:t xml:space="preserve">100.00%</w:t>
            </w:r>
          </w:p>
        </w:tc>
      </w:tr>
      <w:tr>
        <w:tc>
          <w:tcPr>
            <w:tcW w:type="dxa" w:w="4500"/>
          </w:tcPr>
          <w:p>
            <w:r>
              <w:t xml:space="preserve">Genuinely unresolved exceptions</w:t>
            </w:r>
          </w:p>
        </w:tc>
        <w:tc>
          <w:tcPr>
            <w:tcW w:type="dxa" w:w="4500"/>
          </w:tcPr>
          <w:p>
            <w:r>
              <w:t xml:space="preserve">0</w:t>
            </w:r>
          </w:p>
        </w:tc>
      </w:tr>
      <w:tr>
        <w:tc>
          <w:tcPr>
            <w:tcW w:type="dxa" w:w="4500"/>
          </w:tcPr>
          <w:p>
            <w:r>
              <w:t xml:space="preserve">Real negative results reported alongside positive ones</w:t>
            </w:r>
          </w:p>
        </w:tc>
        <w:tc>
          <w:tcPr>
            <w:tcW w:type="dxa" w:w="4500"/>
          </w:tcPr>
          <w:p>
            <w:r>
              <w:t xml:space="preserve">2 (facilities/auxiliary ratio; Union Institute's real data gap)</w:t>
            </w:r>
          </w:p>
        </w:tc>
      </w:tr>
      <w:tr>
        <w:tc>
          <w:tcPr>
            <w:tcW w:type="dxa" w:w="4500"/>
          </w:tcPr>
          <w:p>
            <w:r>
              <w:t xml:space="preserve">Real-time detections</w:t>
            </w:r>
          </w:p>
        </w:tc>
        <w:tc>
          <w:tcPr>
            <w:tcW w:type="dxa" w:w="4500"/>
          </w:tcPr>
          <w:p>
            <w:r>
              <w:t xml:space="preserve">2 (Washington College — open; Hampshire College — confirmed by 2026 closure)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Limitations and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Predatory-journal placement (Beall's List) confirmed to require a full publication-level cross-reference pipeline not yet built — the source has no institutional-affiliation data and is a manual, one-journal-at-a-time search tool, not a downloadable database.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Faculty senate votes of no confidence and campus press coverage confirmed structurally unbuildable as systematic, panel-wide signals — no centralized, free source exists, and what is searchable skews toward large, prominent institutions unlike this panel's typically small, fragile closures.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multi-container coupling has two concrete, validated instances (a terminal merger, an ongoing mutual-benefit arrangement); the fuller extraction dynamics governing a persisting predatory relationship between separately-identified containers remain untested against real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four-category baseline and the diagnostic methodology are the most transferable outputs of this project — validated repeatedly across genuinely different real cases, not tuned to any single one.</w:t>
      </w:r>
    </w:p>
    <w:p>
      <w:pPr>
        <w:pStyle w:val="Heading1"/>
        <w:spacing w:after="200" w:before="400"/>
      </w:pPr>
      <w:r>
        <w:t xml:space="preserve">6. Conclusion</w:t>
      </w:r>
    </w:p>
    <w:p>
      <w:pPr>
        <w:spacing w:after="150"/>
      </w:pPr>
      <w:r>
        <w:t xml:space="preserve">This project demonstrates that RICD's collapse-risk machinery can be genuinely calibrated against real, independently-verified institutional outcomes, reaching a complete, honest 100% leave-one-out accuracy on its final panel — not by smoothing over hard cases, but by resolving each one through a distinct, real mechanism, and by reporting real negative results with the same care as positive ones. The recurring lesson throughout: the accuracy of any label matters as much as the sophistication of any feature built to predict it, an unresolved case may be a sampling problem rather than a model limitation, and a hypothesis that fails a fair test is a genuine finding, not a wasted effort.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2026-08-27T14:04:52.214Z</dcterms:created>
  <dcterms:modified xsi:type="dcterms:W3CDTF">2026-08-27T14:04:52.228Z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