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Future Trackers: A Roadmap</w:t>
      </w:r>
    </w:p>
    <w:p>
      <w:pPr>
        <w:pStyle w:val="Heading2"/>
        <w:spacing w:after="300"/>
      </w:pPr>
      <w:r>
        <w:t xml:space="preserve">Ten Planned Applications of the RICD Framework Beyond Higher Education</w:t>
      </w:r>
    </w:p>
    <w:p>
      <w:pPr>
        <w:spacing w:after="150"/>
      </w:pPr>
      <w:r>
        <w:rPr>
          <w:i/>
          <w:iCs/>
        </w:rPr>
        <w:t xml:space="preserve">This document records the planned next projects, in the order they were proposed. Each entry states the real question the tracker would investigate, the kind of tracker it most likely is (an effect-layer tracker like the higher-ed one, or an actor/forensic tracker in the sense developed separately in the actor-tracker seed note), and any real, known complications worth having in mind before starting. None of these have been built yet; this is a planning record, not a status report on work already done.</w:t>
      </w:r>
    </w:p>
    <w:p>
      <w:pPr>
        <w:pStyle w:val="Heading1"/>
        <w:spacing w:after="180" w:before="350"/>
      </w:pPr>
      <w:r>
        <w:t xml:space="preserve">1. U.S. Federal Justice System</w:t>
      </w:r>
    </w:p>
    <w:p>
      <w:pPr>
        <w:spacing w:after="150"/>
      </w:pPr>
      <w:r>
        <w:t xml:space="preserve">An effect-layer tracker, structurally close to the higher-ed tracker: real, aggregate government data on case processing, sentencing, plea rates, exoneration, and recidivism, likely drawing on Bureau of Justice Statistics and U.S. Sentencing Commission data as the IPEDS-equivalent backbone. This project has real prior history: an earlier version of this application was worked out with ChatGPT during FDFM's original formalization, including a real, substantial proposed tracker design (a full empirical model, a proposed data schema, and cited real data sources), which survives -- see source-documents/intermediate-development/. This entry is a continuation of that real work, not a rebuild from nothing.</w:t>
      </w:r>
    </w:p>
    <w:p>
      <w:pPr>
        <w:pStyle w:val="Heading1"/>
        <w:spacing w:after="180" w:before="350"/>
      </w:pPr>
      <w:r>
        <w:t xml:space="preserve">2. U.S. Medical-Industrial Complex</w:t>
      </w:r>
    </w:p>
    <w:p>
      <w:pPr>
        <w:spacing w:after="150"/>
      </w:pPr>
      <w:r>
        <w:t xml:space="preserve">An effect-layer tracker examining hospital systems, insurers, and pharmaceutical firms. Real, structural data sources exist: CMS cost reports for hospital finances, and a real, documented pattern of rural and small hospital closures that likely parallels the higher-ed tracker's own findings closely enough to reuse much of the same methodology directly -- debt structure, reserve adequacy relative to scale, and consolidation dynamics all have plausible direct analogs in this sector.</w:t>
      </w:r>
    </w:p>
    <w:p>
      <w:pPr>
        <w:pStyle w:val="Heading1"/>
        <w:spacing w:after="180" w:before="350"/>
      </w:pPr>
      <w:r>
        <w:t xml:space="preserve">3. U.S. Public Schooling System</w:t>
      </w:r>
    </w:p>
    <w:p>
      <w:pPr>
        <w:spacing w:after="150"/>
      </w:pPr>
      <w:r>
        <w:t xml:space="preserve">An effect-layer tracker, the K-12 analog to the higher-ed tracker. NCES maintains a real, direct structural counterpart to IPEDS for this sector -- the Common Core of Data -- covering school-level finance, enrollment, and closure information. Real school district closures and consolidations, along with per-pupil funding disparities, would be the natural starting point, closely following the higher-ed tracker's own validated methodology.</w:t>
      </w:r>
    </w:p>
    <w:p>
      <w:pPr>
        <w:pStyle w:val="Heading1"/>
        <w:spacing w:after="180" w:before="350"/>
      </w:pPr>
      <w:r>
        <w:t xml:space="preserve">4. The Rape Crisis and Domestic Violence Aid Sector: A Comparative Funding-Model Question</w:t>
      </w:r>
    </w:p>
    <w:p>
      <w:pPr>
        <w:spacing w:after="150"/>
      </w:pPr>
      <w:r>
        <w:t xml:space="preserve">This one is structurally different from the others, and worth stating precisely: not primarily a collapse tracker, but a comparative resource-trajectory study. The real question is whether outcomes and resource adequacy in this sector have improved or worsened since it shifted from being built and funded internally by the radical feminist movement -- through grassroots organizing, crowdfunding, and volunteer labor in the 1970s and 1980s -- to being substantially government-funded, primarily following the 1994 Violence Against Women Act and the federal grant infrastructure it created.</w:t>
      </w:r>
    </w:p>
    <w:p>
      <w:pPr>
        <w:spacing w:after="150"/>
      </w:pPr>
      <w:r>
        <w:t xml:space="preserve">A real, honest methodological asymmetry needs to be named up front: government grant funding through this era is genuinely trackable, through federal Office on Violence Against Women grant records and comparable state-level data. The movement's own earlier grassroots funding is not centralized or standardized in the same way, and reconstructing it accurately will likely require oral history, movement archives, and organizational records rather than a clean government dataset -- closer in method to the actor-tracker's own evidentiary approach than to the higher-ed tracker's reliance on a single, comprehensive federal data source. This is a real, substantive research question with a genuine methodological challenge at its center, not a straightforward data-pull.</w:t>
      </w:r>
    </w:p>
    <w:p>
      <w:pPr>
        <w:pStyle w:val="Heading1"/>
        <w:spacing w:after="180" w:before="350"/>
      </w:pPr>
      <w:r>
        <w:t xml:space="preserve">5. Forensic Tracker: The 1929 Stock Market Crash</w:t>
      </w:r>
    </w:p>
    <w:p>
      <w:pPr>
        <w:spacing w:after="150"/>
      </w:pPr>
      <w:r>
        <w:t xml:space="preserve">A real, historical actor/forensic tracker in the sense developed in the actor-tracker seed note -- concerned with the specific decisions and actors behind a collapse that has already happened, not an ongoing effect-layer measurement. A genuine advantage here: the Pecora Commission hearings (1932-1934) already constitute a real, extensive, publicly available investigative record naming specific actors and decisions, assembled by the U.S. Senate in direct response to the crash, well before the SEC itself existed (created in 1934, partly as a result of these hearings). This is a rare case where the primary forensic evidence base was already built by someone else, rather than needing to be assembled from scratch.</w:t>
      </w:r>
    </w:p>
    <w:p>
      <w:pPr>
        <w:pStyle w:val="Heading1"/>
        <w:spacing w:after="180" w:before="350"/>
      </w:pPr>
      <w:r>
        <w:t xml:space="preserve">6. Forensic Tracker: The Titan Submersible Disaster</w:t>
      </w:r>
    </w:p>
    <w:p>
      <w:pPr>
        <w:spacing w:after="150"/>
      </w:pPr>
      <w:r>
        <w:t xml:space="preserve">A second real, historical actor/forensic tracker, and a genuinely strong near-term candidate given how recent and well-documented it is. The U.S. Coast Guard's Marine Board of Investigation held real, public hearings in 2024 examining the specific decisions, actors, and organizational failures behind the 2023 disaster, producing a substantial, organized, and unusually current public evidentiary record -- closer to a ready-made case file than most forensic applications will ever be.</w:t>
      </w:r>
    </w:p>
    <w:p>
      <w:pPr>
        <w:pStyle w:val="Heading1"/>
        <w:spacing w:after="180" w:before="350"/>
      </w:pPr>
      <w:r>
        <w:t xml:space="preserve">7. Shadow Financial Infrastructure and Private Equity</w:t>
      </w:r>
    </w:p>
    <w:p>
      <w:pPr>
        <w:spacing w:after="150"/>
      </w:pPr>
      <w:r>
        <w:t xml:space="preserve">Proposed via a Gemini conversation, adversarially checked before adding it here. The core translation is real and strong: private equity ownership of critical infrastructure (hospitals, housing, utilities) as a parasitic extraction-flux pattern (X_{i,j}) -- a parent hub siphoning capital from a subordinate node while it remains nominally operating under heavy debt. This is not a new mechanism for this project to validate; it is the same pattern already confirmed real and quantified in the higher-ed tracker's Dream Center/Argosy case (RICD 10.1), applied to a new domain. Steward Health Care and Toys "R" Us are real, well-documented, genuinely comparable Category 2 (confirmed collapse) precedents.</w:t>
      </w:r>
    </w:p>
    <w:p>
      <w:pPr>
        <w:spacing w:after="150"/>
      </w:pPr>
      <w:r>
        <w:t xml:space="preserve">Two real problems in the originally proposed version, found and corrected before this entry was added. First, an "apex hub" layer treating BlackRock and Vanguard as coordinating cross-ownership was cut: these are overwhelmingly passive index managers, and the "common ownership" thesis that they exert coordinated operational influence is a genuinely contested area of active economic research, not settled structural fact -- it does not belong built into the container hierarchy as though it were. Second, the proposed data sources do not actually cover what the framework needs: SEC Form ADV covers the adviser (AUM, fund structure, disciplinary history), not the underlying asset's physical or operational reality, and federal bankruptcy dockets are retrospective by construction -- real and rich for Category 2 collapse cases, but structurally unable to monitor a currently-operating portfolio company before anything has gone wrong.</w:t>
      </w:r>
    </w:p>
    <w:p>
      <w:pPr>
        <w:spacing w:after="150"/>
      </w:pPr>
      <w:r>
        <w:t xml:space="preserve">The real fix, and the reason this entry is genuinely buildable rather than merely appealing: nursing homes and long-term care facilities, via CMS Care Compare data, solve both problems at once and are a stronger starting point than the originally proposed sector-wide version. CMS's Five-Star Quality Rating is substantially self-reported and functions as a real official layer; Payroll-Based Journal (PBJ) staffing data is mandatory, audited, and tied to actual payroll records, functioning as a real operational layer with a documented, real gap between the two already established in the literature. Ownership data now includes explicit private-equity and REIT ownership flags in the same dataset, and a real, substantial body of published research already finds worse outcomes at PE-owned facilities -- genuine, mandatory, multi-year ground truth for calibration, playing the same role Steward and Toys "R" Us play for the sector-wide version, without needing to be assembled case by case.</w:t>
      </w:r>
    </w:p>
    <w:p>
      <w:pPr>
        <w:pStyle w:val="Heading1"/>
        <w:spacing w:after="180" w:before="350"/>
      </w:pPr>
      <w:r>
        <w:t xml:space="preserve">8. Scientific Research Manifolds</w:t>
      </w:r>
    </w:p>
    <w:p>
      <w:pPr>
        <w:spacing w:after="150"/>
      </w:pPr>
      <w:r>
        <w:t xml:space="preserve">The real question: whether institutional science's own claims to rigor have diverged from its actual operational reality -- peer-reviewed volume and citation prestige as an official layer, against replication failure, data fabrication, and paper-mill activity as the operational reality underneath it. This is a genuinely recursive application: the same framework built to detect institutions whose official self-representation has separated from their real behavior, turned on the specific domain of institutional knowledge production itself, rather than on finance or enrollment. It also connects directly to work already done in this project -- the retraction-rate feature explored for the higher-ed tracker used the Retraction Watch database directly, and this application would extend that same real, already-handled data source (alongside OpenAlex and Crossref, both real, fully open, multi-decade citation and institutional graphs) into a full tracker in its own right.</w:t>
      </w:r>
    </w:p>
    <w:p>
      <w:pPr>
        <w:pStyle w:val="Heading1"/>
        <w:spacing w:after="180" w:before="350"/>
      </w:pPr>
      <w:r>
        <w:t xml:space="preserve">9. Regional Electrical Grids</w:t>
      </w:r>
    </w:p>
    <w:p>
      <w:pPr>
        <w:spacing w:after="150"/>
      </w:pPr>
      <w:r>
        <w:t xml:space="preserve">The real question: whether efficiency-driven elimination of physical buffer capacity (deferred maintenance, reduced weatherization investment) leaves a grid structurally unable to absorb a heavy-tailed climate shock it would otherwise have survived. The 2021 Texas winter freeze (the ERCOT grid failure) is a real, well-documented, large-scale instance of almost exactly this pattern -- years of underinvestment in weatherization meeting a genuine, discrete extreme-cold shock -- and a strong candidate for an early validation case in the same role Hampshire and Washington College played for the higher-ed tracker. Real, standardized federal data exists across a full ten-year window: EIA Forms 860, 861, and 923 track generator capacity, outages, and grid-operator transactions in rigid flat tables; EPA eGRID provides annual subregional environmental and generation load data. Worth noting for its own sake: the form-over-function language this whole framework grew out of (the Pentagonal Theorem's own original vocabulary) maps almost exactly onto this domain's real engineering concepts of nameplate capacity versus real delivered capacity under stress.</w:t>
      </w:r>
    </w:p>
    <w:p>
      <w:pPr>
        <w:pStyle w:val="Heading1"/>
        <w:spacing w:after="180" w:before="350"/>
      </w:pPr>
      <w:r>
        <w:t xml:space="preserve">10. Cybernetics: Predictive Cascade Risk From Configuration and Code Drift</w:t>
      </w:r>
    </w:p>
    <w:p>
      <w:pPr>
        <w:spacing w:after="150"/>
      </w:pPr>
      <w:r>
        <w:t xml:space="preserve">This entry is structurally different from every other one on this list, and the difference is worth naming precisely, since it changes both the mechanism and the commercial shape of the project. The real question is not whether a system's frontend can be made to look healthy while its backend is corrupted -- that pathology (a captive official layer papering over real operational failure) is already covered by this framework's existing machinery, and building a tracker to detect it would just be redeploying what higher-ed and PE nursing-home tracking already do. The real, distinct idea here is the opposite and genuinely healthier mechanism: automatically replacing corrupted or drifted operational state with clean, verified source -- not masking the divergence, actually resolving it.</w:t>
      </w:r>
    </w:p>
    <w:p>
      <w:pPr>
        <w:spacing w:after="150"/>
      </w:pPr>
      <w:r>
        <w:t xml:space="preserve">This mechanism already exists and runs in production today under the name configuration or code drift detection and remediation. P_o (official/declared) is a version-controlled source of truth -- a git commit, a signed build artifact, a declared infrastructure-as-code specification. P_p (operational/real) is what is actually running, which can silently diverge from that declared state through unauthorized changes, partial deploys, or genuine corruption. Real, mature tools already do exactly this reconciliation: Kubernetes' own control loop continuously compares desired state against actual state and, on divergence, replaces the drifted instance wholesale with a fresh one built from the clean declared source, rather than patching it in place; Chef, Puppet, Ansible, and AWS Config perform the equivalent reconciliation at the infrastructure level.</w:t>
      </w:r>
    </w:p>
    <w:p>
      <w:pPr>
        <w:spacing w:after="150"/>
      </w:pPr>
      <w:r>
        <w:t xml:space="preserve">An honest patentability note, since this idea was raised specifically with licensing in mind. Drift detection and reconciliation by itself is not novel -- the tools above already do it, and abstract detect-and-reconcile logic has faced real, serious difficulty clearing U.S. patent review since Alice Corp v. CLS Bank (2014) absent a concrete technical improvement over existing systems. What is not already covered by those tools, and where this framework's specific machinery would add real, non-obvious value: existing reconciliation tools are reactive and binary -- drift exists or it does not, fix it. None of them use trajectory data to predict which specific drifted component is heading toward a cascading, self-reinforcing failure across a whole service-dependency graph before that cascade actually happens. That predictive question is exactly what this project's already-validated δR-trend and extraction-flux machinery was built to answer for institutional collapse, applied here to a microservices or infrastructure dependency graph instead. Real, well-documented cascading outages (the 2021 Fastly outage, multiple AWS us-east-1 incidents) would supply the same kind of real calibration cases Steward Health Care supplies for the PE tracker -- a real basis for a genuine patent conversation with an actual attorney, focused specifically on predictive cascade risk from drift trajectory, not on drift detection itself.</w:t>
      </w:r>
    </w:p>
    <w:p>
      <w:pPr>
        <w:spacing w:after="150"/>
      </w:pPr>
      <w:r>
        <w:t xml:space="preserve">A real, deliberate difference in scope and audience from every other entry on this list, worth stating plainly rather than treating as a limitation to apologize for. Every other tracker here studies an institution that has no particular interest in being watched -- data access has been the recurring hard problem all night precisely because of that adversarial relationship. This one inverts it entirely: the customer already owns its own infrastructure data and is directly motivated to want this detection working well, since a missed cascade costs it real money. That makes this the one entry on this list shaped as a licensable product for a single motivated organization's own systems, rather than a public-interest tracker built from a mandatory-reporting dataset spanning many institutions -- a real, structural difference in kind, not just a narrower first version of the same thing.</w:t>
      </w:r>
    </w:p>
    <w:p>
      <w:pPr>
        <w:pStyle w:val="Heading1"/>
        <w:spacing w:after="180" w:before="350"/>
      </w:pPr>
      <w:r>
        <w:t xml:space="preserve">A Note on Sequencing</w:t>
      </w:r>
    </w:p>
    <w:p>
      <w:pPr>
        <w:spacing w:after="150"/>
      </w:pPr>
      <w:r>
        <w:t xml:space="preserve">No fixed order has been set. Items 1 through 3 share enough real structural similarity to the already-validated higher-ed tracker that any of them could reasonably be built next using much of the same methodology directly. Items 5 and 6 are both real candidates for the actor tracker described separately, and share a research approach with each other more than with items 1 through 4. Item 4 stands somewhat apart from both groups, and is likely the one requiring the most original methodological work before data collection can even begin. Item 7's real starting point is narrower than originally proposed -- nursing homes specifically, not the private-equity sector broadly -- and is genuinely tractable given how directly CMS's own data already splits into the official and operational layers this framework needs. Items 8 and 9 were proposed and ranked by genuine interest rather than by data tractability alone; both have real, clean, standardized federal or open data available, and item 8 in particular extends data-source work (Retraction Watch, OpenAlex) already done for the higher-ed tracker rather than requiring an entirely new data pipeline. Item 10 stands apart from all the others in shape rather than in mechanism: a single-organization licensable product rather than a cross-institutional public tracker, and the one entry on this list where a genuine patent conversation is actually worth having, specifically around predictive cascade risk rather than drift detection itself.</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2026-08-29T16:15:02.645Z</dcterms:created>
  <dcterms:modified xsi:type="dcterms:W3CDTF">2026-08-29T16:15:02.660Z</dcterms:modified>
</cp:coreProperties>
</file>

<file path=docProps/custom.xml><?xml version="1.0" encoding="utf-8"?>
<Properties xmlns="http://schemas.openxmlformats.org/officeDocument/2006/custom-properties" xmlns:vt="http://schemas.openxmlformats.org/officeDocument/2006/docPropsVTypes"/>
</file>