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微软雅黑" w:hAnsi="微软雅黑" w:eastAsia="微软雅黑"/>
          <w:b/>
          <w:color w:val="1F3A5F"/>
          <w:sz w:val="36"/>
        </w:rPr>
        <w:t>客户 H · 平台 A 生意发展汇报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888888"/>
          <w:sz w:val="24"/>
        </w:rPr>
        <w:t>（脱敏案例）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666666"/>
          <w:sz w:val="22"/>
        </w:rPr>
        <w:t>【本文性质】</w:t>
      </w:r>
      <w:r>
        <w:rPr>
          <w:rFonts w:ascii="微软雅黑" w:hAnsi="微软雅黑" w:eastAsia="微软雅黑"/>
          <w:b w:val="0"/>
          <w:sz w:val="22"/>
        </w:rPr>
        <w:t>脱敏案例展示 · 可公开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666666"/>
          <w:sz w:val="22"/>
        </w:rPr>
        <w:t>【脱敏说明】</w:t>
      </w:r>
      <w:r>
        <w:rPr>
          <w:rFonts w:ascii="微软雅黑" w:hAnsi="微软雅黑" w:eastAsia="微软雅黑"/>
          <w:b w:val="0"/>
          <w:sz w:val="22"/>
        </w:rPr>
        <w:t>客户名 / 友商名 / 具体数字 / 平台政策窗口 / 内部署名，全部抹除或泛化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666666"/>
          <w:sz w:val="22"/>
        </w:rPr>
        <w:t>【保留内容】</w:t>
      </w:r>
      <w:r>
        <w:rPr>
          <w:rFonts w:ascii="微软雅黑" w:hAnsi="微软雅黑" w:eastAsia="微软雅黑"/>
          <w:b w:val="0"/>
          <w:sz w:val="22"/>
        </w:rPr>
        <w:t>章节骨架、叙事逻辑、翻译手法、收口结构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汇报人：</w:t>
      </w:r>
      <w:r>
        <w:rPr>
          <w:rFonts w:ascii="微软雅黑" w:hAnsi="微软雅黑" w:eastAsia="微软雅黑"/>
          <w:b w:val="0"/>
          <w:sz w:val="22"/>
        </w:rPr>
        <w:t>客户 H 业务负责人</w:t>
      </w: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汇报对象：</w:t>
      </w:r>
      <w:r>
        <w:rPr>
          <w:rFonts w:ascii="微软雅黑" w:hAnsi="微软雅黑" w:eastAsia="微软雅黑"/>
          <w:b w:val="0"/>
          <w:sz w:val="22"/>
        </w:rPr>
        <w:t>客户 H 决策层</w:t>
      </w: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核心议题：</w:t>
      </w:r>
      <w:r>
        <w:rPr>
          <w:rFonts w:ascii="微软雅黑" w:hAnsi="微软雅黑" w:eastAsia="微软雅黑"/>
          <w:b w:val="0"/>
          <w:sz w:val="22"/>
        </w:rPr>
        <w:t>客户 H 在平台 A 的日均 GMV 从「当前规模」到「翻倍目标」的路径与支撑条件</w:t>
      </w: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日期：</w:t>
      </w:r>
      <w:r>
        <w:rPr>
          <w:rFonts w:ascii="微软雅黑" w:hAnsi="微软雅黑" w:eastAsia="微软雅黑"/>
          <w:b w:val="0"/>
          <w:sz w:val="22"/>
        </w:rPr>
        <w:t>脱敏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C8F"/>
          <w:sz w:val="30"/>
        </w:rPr>
        <w:t>一、客户 H 在平台 A 的生意现状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客户 H 目前在平台 A 的所属行业内，综合体量稳居第二梯队头部，仅次于行业霸主 N。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这个"第二名"来之不易——它不是某一个单点能力的结果，而是团队体系、投放能力、直播运营、供应链和品牌信任的综合产出。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E5C8F"/>
          <w:sz w:val="30"/>
        </w:rPr>
        <w:t>二、行业竞争全景：客户 H 的第二名有多难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2.1 平台 A 所属行业综合体量排名（脱敏代号）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业绩驱动结构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竞争梯队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自播+直购+达播+切片分销，多直播间矩阵+大规模达人/商务团队，全品类覆盖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绝对霸主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 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自播+直购，单核心品类聚焦，依托集团科研背书，全行业最高客单价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🟢 高效率标杆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自播为主，跨平台供应链背景，主攻中低客单下沉市场，素材转化力强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下沉杀手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自播为主，所属赛道头部品牌，明星代言+专业人设双重背书，全域用户基数大，高客单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蓄势待发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自播为主，主打体育/营养专家 IP，垂直人群赛道，单间产能极高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IP 爆发型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6-7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传统品牌 × 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老字号 / 药企背景，品牌信任度高，品类以基础营养为主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⚪ 传统品牌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自播+品牌营销双驱动，近半年持续在品牌内容上投入，全渠道品牌力强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🟠 品牌营销先行者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MCN 起家转型品牌，造 IP 能力极强，背靠头部供应链，进入平台 A 一周即达百万日销，被规则限制后暂时蛰伏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降维打击者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 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规模型品牌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代餐赛道，消耗规模行业第一但 ROI 已逼近红线，"烧钱换规模"模式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⚪ 规模型</w:t>
            </w:r>
          </w:p>
        </w:tc>
      </w:tr>
    </w:tbl>
    <w:p>
      <w:pPr>
        <w:spacing w:after="120" w:line="360" w:lineRule="auto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2.2 竞争格局深度解读：前有狼，后有虎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🔴 第一梯队威胁：品牌 N（Top 1）—— 客户 H 做不到的"全矩阵壁垒"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品牌 N 的第一名不是靠某一个 IP 或某一个爆品，而是靠全体系碾压：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品牌 N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 H</w:t>
            </w:r>
          </w:p>
        </w:tc>
        <w:tc>
          <w:tcPr>
            <w:tcW w:type="dxa" w:w="216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直播间数量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多间矩阵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少数几间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品类覆盖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全基础营养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单核心品类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品类宽度数倍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达人团队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大规模达人+商务团队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无达人体系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 0 到有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分销体系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自播+达播+切片分销，全矩阵覆盖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自播+直购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缺少达播引擎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用户教育成本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极低（品类认知普及）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高（核心品类需深度教育）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结构性劣势</w:t>
            </w:r>
          </w:p>
        </w:tc>
      </w:tr>
    </w:tbl>
    <w:p>
      <w:pPr>
        <w:spacing w:after="120" w:line="360" w:lineRule="auto"/>
      </w:pP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【关键判断】</w:t>
      </w:r>
      <w:r>
        <w:rPr>
          <w:rFonts w:ascii="微软雅黑" w:hAnsi="微软雅黑" w:eastAsia="微软雅黑"/>
          <w:b w:val="0"/>
          <w:sz w:val="22"/>
        </w:rPr>
        <w:t>品牌 N 的优势是资源堆叠的结果。客户 H 能在如此悬殊的资源差距下拿到第二名，靠的是集团科研 IP 无可复制的公信力 + 团队的极致单品深耕能力——这是一种"以质取胜"的打法。但 IP 的势能目前只通过少数几间直播间释放，如果给 IP 配上更强的运营基建，产出天花板将远不止于此。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🟡 第二梯队追赶：品牌 5 &amp; 品牌 Y —— 直接争夺高客单人群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客户 H 面临的最现实威胁来自紧随其后的高客单品牌：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sz w:val="22"/>
        </w:rPr>
        <w:t>▸ 品牌 5（Top 4）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所在赛道头部品牌，全域基础用户量级大于客户 H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拥有明星代言+专业人设双重背书，品牌调性与客户 H 直接竞争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高客单人群与客户 H 高度重叠：用户的高客单预算花在了竞品上，就不会再选客户 H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sz w:val="22"/>
        </w:rPr>
        <w:t>▸ 品牌 Y（Top 5）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打的是极度贴合平台 A 用户画像的 IP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已与体育领域顶级人物达成合作，IP 势能直接争夺客户 H 的高客单核心人群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用户钱包有限：在客户 H、品牌 5、品牌 Y 之间，用户只会选其中一到两家——后两者的壮大直接蚕食客户 H 的份额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🔴 第三梯队潜在威胁：品牌 W &amp; 品牌 K —— 最危险的挑战者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【⚠️ 关键政策变量】</w:t>
      </w:r>
      <w:r>
        <w:rPr>
          <w:rFonts w:ascii="微软雅黑" w:hAnsi="微软雅黑" w:eastAsia="微软雅黑"/>
          <w:b w:val="0"/>
          <w:sz w:val="22"/>
        </w:rPr>
        <w:t>根据与平台方的沟通，核心品类的准入开通已进入窗口期。这意味着品牌 W 和品牌 K——两个最具威胁的同品类品牌——将获得正式入场资格。留给客户 H 巩固护城河的窗口期，所剩有限。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sz w:val="22"/>
        </w:rPr>
        <w:t>▸ 品牌 W（Top 8）—— 品牌营销先行者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近半年持续在平台 A 的品牌营销上砸钱（内容 IP / 品牌投放），这是客户 H 目前几乎没有投入的领域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客单与客户 H 接近，全渠道品牌力极强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品牌 W 的品牌效应一旦形成规模——搜索流量上升、自然转化增加、CPM 下降——客户 H 在纯效果广告层面会变得非常被动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客户 H 目前高度依赖广告驱动，一旦品牌 W 用品牌手段降低获客成本，客户 H 的效率优势将被侵蚀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核心品类一开通，品牌 W 半年的品牌蓄水将集中变现——它不是从零开始，而是"弹药已备好，只等发令枪"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sz w:val="22"/>
        </w:rPr>
        <w:t>▸ 品牌 K（Top 9）—— 降维打击者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MCN 起家，造 IP 的能力极强，很多平台热度都是它制造出来的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背后供应链资源不弱于客户 H，产品没有明显短板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品牌理念——"讲故事、建信任、科学消费"——天然适配平台 A 的用户逻辑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它进入平台 A 一周，日销就达到百万级——已验证品牌与平台的高度贴合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之前被平台规则限制暂时退出，但一旦问题解决重新入局，将是直接的降维打击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窗口期一过，品牌 K 已验证的"一周百万日销"能力将立刻释放——上次是被规则挡住，这次不会再有门槛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⚪ 此外：大量中低客单贴牌商家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除了上述品牌竞争者，平台 A 所属行业还有大量中低客单价的贴牌类商家正在涌入。客户 H 的产品线（高客单价）完全无法触达这部分中低客单人群。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【判断】</w:t>
      </w:r>
      <w:r>
        <w:rPr>
          <w:rFonts w:ascii="微软雅黑" w:hAnsi="微软雅黑" w:eastAsia="微软雅黑"/>
          <w:b w:val="0"/>
          <w:sz w:val="22"/>
        </w:rPr>
        <w:t>客户 H 的产品结构决定了它无法向下兼容。如果不能守住高客单领域的绝对领先，就会面临"上面打不过 N，下面触达不到下沉用户"的夹心局面。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E5C8F"/>
          <w:sz w:val="30"/>
        </w:rPr>
        <w:t>三、核心判断：最强 IP 需要最强运营体系来承接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3.1 集团科研 IP 是核心引擎——但引擎需要精细化运营才能全力输出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客户 H 能在平台 A 所属行业坐到第二名，最核心的底层资产就是集团 IP 和科研信任背书。这是其他任何竞品都无法复制的壁垒——品牌 N 有流量矩阵，品牌 5 有明星代言，但没有人能复制集团 IP 几十年积累的科研公信力。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但 IP 再强大，也需要一系列精细化运营体系来让 IP 的价值充分绽放。打个比方：IP 是发动机，运营体系是变速箱、底盘和传动轴——发动机决定了上限，但没有传动体系，发动机的马力输出不到轮子上。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当前，这套"让 IP 绽放"的运营体系已经初步成型：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 H 的做法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如何让 IP 价值放大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投放体系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少数几间直播间×精细化投放，ROI 稳定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精准投放让 IP 触达最高转化潜力的目标人群，而非泛投浪费 IP 势能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直播运营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主力品类 + 第二曲线 + 第三品类线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 IP 的科研信任延展到新品类，每多开一条线就多释放一层 IP 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客单价管理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全行业最高客单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高客单价本身就是 IP 信任力的最直接证明——用户愿意为集团 IP 付溢价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基建效率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单创意产出行业领先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高效的素材体系让 IP 内容的每一次曝光都最大化转化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品类拓展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多品类独立直播间运营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 的品类延展能力已验证——这意味着集团 IP 还有巨大的品类释放空间</w:t>
            </w:r>
          </w:p>
        </w:tc>
      </w:tr>
    </w:tbl>
    <w:p>
      <w:pPr>
        <w:spacing w:after="120" w:line="360" w:lineRule="auto"/>
      </w:pP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2E5C8F"/>
          <w:sz w:val="22"/>
        </w:rPr>
        <w:t>【一句话】</w:t>
      </w:r>
      <w:r>
        <w:rPr>
          <w:rFonts w:ascii="微软雅黑" w:hAnsi="微软雅黑" w:eastAsia="微软雅黑"/>
          <w:b w:val="0"/>
          <w:sz w:val="22"/>
        </w:rPr>
        <w:t>集团 IP 是客户 H 最不可替代的核心资产，但要让这个 IP 从「当前规模」绽放到「翻倍目标」，需要更精细、更完善的运营体系来承接和放大 IP 的势能。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看看竞争对手就知道——品牌 N 没有客户 H 这样的科研 IP，靠的是矩阵化直播间和大规模达人团队的“人海战术”来弥补；品牌 Y 借的是体育 IP，影响力深度远不如集团科研公信力。客户 H 的 IP 天花板远高于竞品，关键是：现有的运营体系还不足以承接 IP 的全部势能——这正是需要客户加码投入的原因。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3.2 IP 势能释放的现状：已起步，但远未到天花板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集团 IP 的平台 A 商业化，就像一台高性能发动机刚刚挂上了二挡——已经跑出了行业第二的成绩，但远没有到全力输出的状态。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24"/>
              </w:rPr>
              <w:t>集团 IP ＝ 核心发动机</w:t>
              <w:br/>
              <w:t>（科研公信力 + CEO IP 影响力）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E5C8F"/>
                <w:sz w:val="24"/>
              </w:rPr>
              <w:t>当前已搭建的运营传动体系</w:t>
              <w:br/>
            </w:r>
            <w:r>
              <w:rPr>
                <w:rFonts w:ascii="微软雅黑" w:hAnsi="微软雅黑" w:eastAsia="微软雅黑"/>
                <w:b w:val="0"/>
                <w:sz w:val="20"/>
              </w:rPr>
              <w:br/>
              <w:t>投放团队（精准投放）→ ROI 健康</w:t>
              <w:br/>
              <w:t>直播运营（多间矩阵）→ 多品类运转</w:t>
              <w:br/>
              <w:t>基建效率（素材创意）→ 行业领先</w:t>
              <w:br/>
              <w:t>客单管理（信任转化）→ 全行业最高客单</w:t>
              <w:br/>
              <w:t>服务商协同（数据驱动）→ 持续优化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当前输出 ＝ 行业第二</w:t>
            </w:r>
          </w:p>
        </w:tc>
      </w:tr>
    </w:tbl>
    <w:p>
      <w:pPr>
        <w:spacing w:after="120" w:line="360" w:lineRule="auto"/>
      </w:pP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【⚠️ 关键洞察】</w:t>
      </w:r>
      <w:r>
        <w:rPr>
          <w:rFonts w:ascii="微软雅黑" w:hAnsi="微软雅黑" w:eastAsia="微软雅黑"/>
          <w:b w:val="0"/>
          <w:sz w:val="22"/>
        </w:rPr>
        <w:t>IP 的天花板远不止于此——但当前的传动体系只能承接这么多势能。要让 IP 全力绽放，需要更强的运营基建来承接。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这台发动机的马力远不止现在输出的水平。但如果运营体系不升级——直播间不扩、达人矩阵不建、品牌营销不投、品类不拓——再强的 IP 也只能停留在当前的产出水平。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3.3 竞争环境的残酷现实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竞争者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对客户 H 的威胁方式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威胁紧迫度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体量碾压，全品类+达人矩阵+小店，客户 H 追不上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持续存在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抢夺下沉市场，极致供应链+低客单杀伤力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已在发生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争夺高客单人群，全域用户基数大，达播一开直接上位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蓄势待发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争夺高客单核心人群，IP 精准打击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正在加速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品牌营销降维打击，半年蓄水即将集中变现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品类开通即爆发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造 IP+产品无短板，已验证一周百万日销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品类开通即爆发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中低客单贴牌商家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蚕食下沉市场份额，客户 H 产品线无法向下兼容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持续侵蚀</w:t>
            </w:r>
          </w:p>
        </w:tc>
      </w:tr>
    </w:tbl>
    <w:p>
      <w:pPr>
        <w:spacing w:after="120" w:line="360" w:lineRule="auto"/>
      </w:pP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【核心结论】</w:t>
      </w:r>
      <w:r>
        <w:rPr>
          <w:rFonts w:ascii="微软雅黑" w:hAnsi="微软雅黑" w:eastAsia="微软雅黑"/>
          <w:b w:val="0"/>
          <w:sz w:val="22"/>
        </w:rPr>
        <w:t>集团 IP 是客户 H 最大的竞争壁垒——没有任何一个竞品拥有同等量级的科研公信力。但这份 IP 的势能目前只释放了一部分，竞争对手正在用"人海战术""品牌砸钱""多 IP 矩阵"等方式试图弥补 IP 劣势。如果不加码运营基建，让 IP 的全部势能释放出来，第二名的优势就会被追赶者的"勤补拙"蚕食掉。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E5C8F"/>
          <w:sz w:val="30"/>
        </w:rPr>
        <w:t>四、从「当前规模」到「翻倍目标」：需要什么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4.1 增长公式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/>
                <w:color w:val="2E5C8F"/>
                <w:sz w:val="22"/>
              </w:rPr>
              <w:t xml:space="preserve">当前：  </w:t>
            </w:r>
            <w:r>
              <w:rPr>
                <w:rFonts w:ascii="微软雅黑" w:hAnsi="微软雅黑" w:eastAsia="微软雅黑"/>
                <w:b w:val="0"/>
                <w:sz w:val="22"/>
              </w:rPr>
              <w:t>日均 GMV ≈ 当前规模 ＝ 日耗 × 当前 ROI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/>
                <w:color w:val="2E5C8F"/>
                <w:sz w:val="22"/>
              </w:rPr>
              <w:t xml:space="preserve">目标：  </w:t>
            </w:r>
            <w:r>
              <w:rPr>
                <w:rFonts w:ascii="微软雅黑" w:hAnsi="微软雅黑" w:eastAsia="微软雅黑"/>
                <w:b w:val="0"/>
                <w:sz w:val="22"/>
              </w:rPr>
              <w:t>日均 GMV ≈ 翻倍目标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/>
                <w:color w:val="2E5C8F"/>
                <w:sz w:val="22"/>
              </w:rPr>
              <w:t xml:space="preserve">路径一（效率驱动）：  </w:t>
            </w:r>
            <w:r>
              <w:rPr>
                <w:rFonts w:ascii="微软雅黑" w:hAnsi="微软雅黑" w:eastAsia="微软雅黑"/>
                <w:b w:val="0"/>
                <w:sz w:val="22"/>
              </w:rPr>
              <w:t>日耗翻倍 × 当前 ROI ← 需要日耗翻倍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/>
                <w:color w:val="2E5C8F"/>
                <w:sz w:val="22"/>
              </w:rPr>
              <w:t xml:space="preserve">路径二（品效结合）：  </w:t>
            </w:r>
            <w:r>
              <w:rPr>
                <w:rFonts w:ascii="微软雅黑" w:hAnsi="微软雅黑" w:eastAsia="微软雅黑"/>
                <w:b w:val="0"/>
                <w:sz w:val="22"/>
              </w:rPr>
              <w:t>日耗适度增长 × 当前 ROI + 品牌带来的自然流量 ← 更可持续</w:t>
            </w:r>
          </w:p>
        </w:tc>
      </w:tr>
    </w:tbl>
    <w:p>
      <w:pPr>
        <w:spacing w:after="120" w:line="360" w:lineRule="auto"/>
      </w:pPr>
    </w:p>
    <w:p>
      <w:pPr>
        <w:spacing w:after="40" w:line="360" w:lineRule="auto"/>
      </w:pPr>
      <w:r>
        <w:rPr>
          <w:rFonts w:ascii="微软雅黑" w:hAnsi="微软雅黑" w:eastAsia="微软雅黑"/>
          <w:b/>
          <w:sz w:val="22"/>
        </w:rPr>
        <w:t>当前瓶颈：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CPM 上涨（流量越来越贵）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sz w:val="22"/>
        </w:rPr>
        <w:t>CPA 上涨（转化用户越来越贵）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sz w:val="22"/>
        </w:rPr>
        <w:t>→ 纯靠效果广告扩量，ROI 会被成本上涨吃掉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4.2 让 IP 从「当前规模」绽放到「翻倍目标」，需要客户在运营基建上加码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需要的支撑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80"/>
            <w:shd w:fill="2E5C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为什么客户需要支持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品牌营销预算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重大节点的品牌内容投入（内容 IP+平台资源+KOL 分发）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W 已在品牌营销上持续投入，客户 H 如果不做，效率优势会被品牌力逆转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直播间扩建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直播间数量翻倍以上，新增垂直矩阵间、品类独立间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现有直播间数量打不过品牌 N 的矩阵，矩阵化是规模增长的基础设施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达人体系建设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启动达人直播 / 专家 IP 直播布局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 N 有大规模达人团队，品牌 Y 已有专家 IP——客户 H 在达人侧完全空白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小店渠道突破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扩品+智投优化+品牌搜索流量导入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小店日耗规模有限且持续下滑，是客户 H 最大短板，需要品牌认知提升才能激活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产品线拓宽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在高客单线之外，探索中端价格带产品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高客单结构无法触达中低客单人群，品牌 B 和贴牌商家在蚕食这块市场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团队稳定性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保持现有投放团队、运营团队、服务商协同关系不变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任何人员和体系变动都会直接反映在 ROI 和日耗数据上，竞争对手不会等你调整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2E5C8F"/>
          <w:sz w:val="30"/>
        </w:rPr>
        <w:t>五、结论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C0392B"/>
          <w:sz w:val="28"/>
        </w:rPr>
        <w:t>★ 客户 H 需要的是"让 IP 全力绽放的运营加码" ★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【三个核心事实】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2E5C8F"/>
          <w:sz w:val="22"/>
        </w:rPr>
        <w:t>【事实一】</w:t>
      </w:r>
      <w:r>
        <w:rPr>
          <w:rFonts w:ascii="微软雅黑" w:hAnsi="微软雅黑" w:eastAsia="微软雅黑"/>
          <w:b w:val="0"/>
          <w:sz w:val="22"/>
        </w:rPr>
        <w:t>客户 H 的第二名，根基是集团 IP 无可替代的科研公信力——这是品牌 N 矩阵化直播间、大规模达人团队都买不来的。但 IP 的势能目前只释放了一部分，当前的运营体系是让 IP 输出到「当前规模」的传动装置。要让 IP 绽放到「翻倍目标」甚至更高，需要更强的运营基建来承接。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2E5C8F"/>
          <w:sz w:val="22"/>
        </w:rPr>
        <w:t>【事实二】</w:t>
      </w:r>
      <w:r>
        <w:rPr>
          <w:rFonts w:ascii="微软雅黑" w:hAnsi="微软雅黑" w:eastAsia="微软雅黑"/>
          <w:b w:val="0"/>
          <w:sz w:val="22"/>
        </w:rPr>
        <w:t>在客户 H 身后，品牌 5 的全域用户基数更大、品牌 Y 的 IP 势能正在爆发、品牌 W 的品牌营销持续投入、品牌 K 随时可能重新入局——客户 H 的竞争对手不会因为客户 H 排第二就停下来，他们每一个都在加速追赶。更关键的是，核心品类预计将开通准入——届时品牌 W 半年的品牌蓄水将集中变现，品牌 K 已验证的百万日销能力将直接释放。留给客户 H 巩固优势的窗口期，所剩有限。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2E5C8F"/>
          <w:sz w:val="22"/>
        </w:rPr>
        <w:t>【事实三】</w:t>
      </w:r>
      <w:r>
        <w:rPr>
          <w:rFonts w:ascii="微软雅黑" w:hAnsi="微软雅黑" w:eastAsia="微软雅黑"/>
          <w:b w:val="0"/>
          <w:sz w:val="22"/>
        </w:rPr>
        <w:t>从「当前规模」到「翻倍目标」，不是靠"守"能守出来的。集团 IP 的天花板远不止当前规模——但要突破这个天花板，需要在品牌营销、直播矩阵、达人体系、小店渠道等多个维度同时发力，为 IP 搭建更强的传动体系，让 IP 的势能充分绽放。</w:t>
      </w:r>
    </w:p>
    <w:p>
      <w:pPr>
        <w:spacing w:before="120" w:after="12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【最终诉求】</w:t>
      </w:r>
      <w:r>
        <w:rPr>
          <w:rFonts w:ascii="微软雅黑" w:hAnsi="微软雅黑" w:eastAsia="微软雅黑"/>
          <w:b w:val="0"/>
          <w:sz w:val="22"/>
        </w:rPr>
        <w:t>客户 H 现在需要的，是客户给予更多的战略支持——帮助它突破当前运营体系的承载上限，让集团 IP 从「当前规模」绽放到「翻倍目标」、冲击第一名。因为竞争环境告诉我们：客户 H 拥有行业最强的 IP 资产，但如果运营基建跟不上，这份 IP 的势能就会被浪费。窗口期一旦关闭，竞争烈度将是现在的数倍——现在不加码，到时就来不及了。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44444"/>
          <w:sz w:val="26"/>
        </w:rPr>
        <w:t>📌 阅读说明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2"/>
        </w:rPr>
        <w:t>本文是真实战略汇报材料的全脱敏案例版——客户名 / 友商名 / 具体数字 / 平台政策窗口期 / 内部署名信息均已抹除。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2"/>
        </w:rPr>
        <w:t>真实文档仅存在于客户与销售团队的私域，不对外公开。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22"/>
        </w:rPr>
        <w:t>本案例展示叙事结构和翻译手法，配套方法论见同目录《方法论》文档。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文档归属：</w:t>
      </w:r>
      <w:r>
        <w:rPr>
          <w:rFonts w:ascii="微软雅黑" w:hAnsi="微软雅黑" w:eastAsia="微软雅黑"/>
          <w:b w:val="0"/>
          <w:sz w:val="22"/>
        </w:rPr>
        <w:t>膳食行业 · 案例脱敏版</w:t>
      </w:r>
    </w:p>
    <w:p>
      <w:pPr>
        <w:spacing w:after="60" w:line="360" w:lineRule="auto"/>
      </w:pPr>
      <w:r>
        <w:rPr>
          <w:rFonts w:ascii="微软雅黑" w:hAnsi="微软雅黑" w:eastAsia="微软雅黑"/>
          <w:b/>
          <w:sz w:val="22"/>
        </w:rPr>
        <w:t>适用范围：</w:t>
      </w:r>
      <w:r>
        <w:rPr>
          <w:rFonts w:ascii="微软雅黑" w:hAnsi="微软雅黑" w:eastAsia="微软雅黑"/>
          <w:b w:val="0"/>
          <w:sz w:val="22"/>
        </w:rPr>
        <w:t>方法论展示 · 可上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