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78" w:lineRule="exact" w:before="0" w:after="0"/>
        <w:ind w:left="0" w:right="0" w:firstLine="0"/>
        <w:jc w:val="center"/>
      </w:pPr>
      <w:r>
        <w:rPr>
          <w:rFonts w:ascii="LMRoman17" w:hAnsi="LMRoman17" w:eastAsia="LMRoman17"/>
          <w:b w:val="0"/>
          <w:i w:val="0"/>
          <w:color w:val="000000"/>
          <w:sz w:val="48"/>
        </w:rPr>
        <w:t>Detección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de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Ataques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Minoritarios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en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Redes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IoT</w:t>
      </w:r>
    </w:p>
    <w:p>
      <w:pPr>
        <w:autoSpaceDN w:val="0"/>
        <w:autoSpaceDE w:val="0"/>
        <w:widowControl/>
        <w:spacing w:line="478" w:lineRule="exact" w:before="80" w:after="0"/>
        <w:ind w:left="0" w:right="0" w:firstLine="0"/>
        <w:jc w:val="center"/>
      </w:pPr>
      <w:r>
        <w:rPr>
          <w:rFonts w:ascii="LMRoman17" w:hAnsi="LMRoman17" w:eastAsia="LMRoman17"/>
          <w:b w:val="0"/>
          <w:i w:val="0"/>
          <w:color w:val="000000"/>
          <w:sz w:val="48"/>
        </w:rPr>
        <w:t>mediante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un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Modelo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Híbrido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Stacking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con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Entropía</w:t>
      </w:r>
    </w:p>
    <w:p>
      <w:pPr>
        <w:autoSpaceDN w:val="0"/>
        <w:autoSpaceDE w:val="0"/>
        <w:widowControl/>
        <w:spacing w:line="478" w:lineRule="exact" w:before="80" w:after="0"/>
        <w:ind w:left="0" w:right="0" w:firstLine="0"/>
        <w:jc w:val="center"/>
      </w:pPr>
      <w:r>
        <w:rPr>
          <w:rFonts w:ascii="LMRoman17" w:hAnsi="LMRoman17" w:eastAsia="LMRoman17"/>
          <w:b w:val="0"/>
          <w:i w:val="0"/>
          <w:color w:val="000000"/>
          <w:sz w:val="48"/>
        </w:rPr>
        <w:t>de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Shannon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y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Borderline-SMOTE</w:t>
      </w:r>
    </w:p>
    <w:p>
      <w:pPr>
        <w:autoSpaceDN w:val="0"/>
        <w:autoSpaceDE w:val="0"/>
        <w:widowControl/>
        <w:spacing w:line="236" w:lineRule="exact" w:before="340" w:after="454"/>
        <w:ind w:left="3024" w:right="3168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2"/>
        </w:rPr>
        <w:t>Carmen</w:t>
      </w:r>
      <w:r>
        <w:rPr>
          <w:rFonts w:ascii="LMRoman12" w:hAnsi="LMRoman12" w:eastAsia="LMRoman12"/>
          <w:b w:val="0"/>
          <w:i w:val="0"/>
          <w:color w:val="000000"/>
          <w:sz w:val="22"/>
        </w:rPr>
        <w:t>Nieves</w:t>
      </w:r>
      <w:r>
        <w:rPr>
          <w:rFonts w:ascii="LMRoman12" w:hAnsi="LMRoman12" w:eastAsia="LMRoman12"/>
          <w:b w:val="0"/>
          <w:i w:val="0"/>
          <w:color w:val="000000"/>
          <w:sz w:val="22"/>
        </w:rPr>
        <w:t xml:space="preserve">Apaza-Condori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Escuela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Profesional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Ingeniería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Sistemas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Universidad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Nacional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Altiplano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Puno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Puno,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Perú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carmen.apaza@unap.edu.pe</w:t>
      </w:r>
    </w:p>
    <w:p>
      <w:pPr>
        <w:sectPr>
          <w:pgSz w:w="12240" w:h="15840"/>
          <w:pgMar w:top="528" w:right="960" w:bottom="736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8" w:lineRule="exact" w:before="0" w:after="0"/>
        <w:ind w:left="0" w:right="120" w:firstLine="198"/>
        <w:jc w:val="both"/>
      </w:pPr>
      <w:r>
        <w:rPr>
          <w:rFonts w:ascii="LMRoman9" w:hAnsi="LMRoman9" w:eastAsia="LMRoman9"/>
          <w:b w:val="0"/>
          <w:i w:val="0"/>
          <w:color w:val="000000"/>
          <w:sz w:val="18"/>
        </w:rPr>
        <w:t>Resumen—El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vertiginoso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despliegue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infraestructuras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del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Internet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Cosas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(IoT)</w:t>
      </w:r>
      <w:r>
        <w:rPr>
          <w:rFonts w:ascii="LMRoman9" w:hAnsi="LMRoman9" w:eastAsia="LMRoman9"/>
          <w:b w:val="0"/>
          <w:i w:val="0"/>
          <w:color w:val="000000"/>
          <w:sz w:val="18"/>
        </w:rPr>
        <w:t>ha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expuesto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organizaciones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pequeñas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empresas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ciberataques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alta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complejidad.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embargo,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Sistemas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Detección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Intrusiones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(IDS)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convencionales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enfrentan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severa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degradación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predictiva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debido al desbalance extremo de clases, donde los ataques volu-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métricos masivos (DDoS/DoS) ocultan intrusiones minoritarias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infrecuentes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pero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altamente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destructivas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(Web-based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Brute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Force).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Este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artículo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presenta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arquitectura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híbrida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cla-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sificación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basada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ensamble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por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Stacking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niveles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que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integra Random Forest, XGBoost GPU y LightGBM en el Nivel 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0, reforzados con cuantificación de incertidumbre probabilística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mediante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Entropía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Shannon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sobremuestreo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adaptativo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frontera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través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Borderline-SMOTE1,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evaluado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sobre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benchmark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estandarizado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CICIoT2023</w:t>
      </w:r>
      <w:r>
        <w:rPr>
          <w:rFonts w:ascii="LMRoman9" w:hAnsi="LMRoman9" w:eastAsia="LMRoman9"/>
          <w:b w:val="0"/>
          <w:i w:val="0"/>
          <w:color w:val="000000"/>
          <w:sz w:val="18"/>
        </w:rPr>
        <w:t>(</w:t>
      </w:r>
      <w:r>
        <w:rPr>
          <w:rFonts w:ascii="CMR9" w:hAnsi="CMR9" w:eastAsia="CMR9"/>
          <w:b w:val="0"/>
          <w:i w:val="0"/>
          <w:color w:val="000000"/>
          <w:sz w:val="18"/>
        </w:rPr>
        <w:t>2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515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889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flujos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depurados).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resultados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empíricos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partición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de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prueba aislada (</w:t>
      </w:r>
      <w:r>
        <w:rPr>
          <w:rFonts w:ascii="CMMI9" w:hAnsi="CMMI9" w:eastAsia="CMMI9"/>
          <w:b w:val="0"/>
          <w:i/>
          <w:color w:val="000000"/>
          <w:sz w:val="18"/>
        </w:rPr>
        <w:t>N</w:t>
      </w:r>
      <w:r>
        <w:rPr>
          <w:rFonts w:ascii="CMR6" w:hAnsi="CMR6" w:eastAsia="CMR6"/>
          <w:b w:val="0"/>
          <w:i w:val="0"/>
          <w:color w:val="000000"/>
          <w:sz w:val="12"/>
        </w:rPr>
        <w:t>test</w:t>
      </w:r>
      <w:r>
        <w:rPr>
          <w:rFonts w:ascii="CMR9" w:hAnsi="CMR9" w:eastAsia="CMR9"/>
          <w:b w:val="0"/>
          <w:i w:val="0"/>
          <w:color w:val="000000"/>
          <w:sz w:val="18"/>
        </w:rPr>
        <w:t>= 377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383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) demostraron que la propuesta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alcanza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F1-Macro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70.18 %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exactitud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global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(Accuracy)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84.85 %,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superando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significativamente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los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clasificadores base e individuales. Asimismo, la recuperación de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las clases minoritarias registró un F1-Score del 41.40 % en Brute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Force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33.86 %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Web-based.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perfilado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computacional,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el modelo demostró una latencia de inferencia de apenas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8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65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µs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por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flujo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consumo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memoria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RAM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CMR9" w:hAnsi="CMR9" w:eastAsia="CMR9"/>
          <w:b w:val="0"/>
          <w:i w:val="0"/>
          <w:color w:val="000000"/>
          <w:sz w:val="18"/>
        </w:rPr>
        <w:t>257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89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MB,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validando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su</w:t>
      </w:r>
      <w:r>
        <w:rPr>
          <w:rFonts w:ascii="LMRoman9" w:hAnsi="LMRoman9" w:eastAsia="LMRoman9"/>
          <w:b w:val="0"/>
          <w:i w:val="0"/>
          <w:color w:val="000000"/>
          <w:sz w:val="18"/>
        </w:rPr>
        <w:t>viabilidad</w:t>
      </w:r>
      <w:r>
        <w:rPr>
          <w:rFonts w:ascii="LMRoman9" w:hAnsi="LMRoman9" w:eastAsia="LMRoman9"/>
          <w:b w:val="0"/>
          <w:i w:val="0"/>
          <w:color w:val="000000"/>
          <w:sz w:val="18"/>
        </w:rPr>
        <w:t>operativa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para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pasarelas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borde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IoT.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superioridad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estadística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fue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confirmada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mediante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Prueba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 Rangos con Signo de Wilcoxon (</w:t>
      </w:r>
      <w:r>
        <w:rPr>
          <w:rFonts w:ascii="CMMI9" w:hAnsi="CMMI9" w:eastAsia="CMMI9"/>
          <w:b w:val="0"/>
          <w:i/>
          <w:color w:val="000000"/>
          <w:sz w:val="18"/>
        </w:rPr>
        <w:t>W</w:t>
      </w:r>
      <w:r>
        <w:rPr>
          <w:rFonts w:ascii="CMR6" w:hAnsi="CMR6" w:eastAsia="CMR6"/>
          <w:b w:val="0"/>
          <w:i w:val="0"/>
          <w:color w:val="000000"/>
          <w:sz w:val="12"/>
        </w:rPr>
        <w:t>+</w:t>
      </w:r>
      <w:r>
        <w:rPr>
          <w:rFonts w:ascii="CMR9" w:hAnsi="CMR9" w:eastAsia="CMR9"/>
          <w:b w:val="0"/>
          <w:i w:val="0"/>
          <w:color w:val="000000"/>
          <w:sz w:val="18"/>
        </w:rPr>
        <w:t>= 95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0</w:t>
      </w:r>
      <w:r>
        <w:rPr>
          <w:rFonts w:ascii="CMMI9" w:hAnsi="CMMI9" w:eastAsia="CMMI9"/>
          <w:b w:val="0"/>
          <w:i/>
          <w:color w:val="000000"/>
          <w:sz w:val="18"/>
        </w:rPr>
        <w:t>, p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= 0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003744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&lt; </w:t>
      </w:r>
      <w:r>
        <w:rPr>
          <w:rFonts w:ascii="CMR9" w:hAnsi="CMR9" w:eastAsia="CMR9"/>
          <w:b w:val="0"/>
          <w:i w:val="0"/>
          <w:color w:val="000000"/>
          <w:sz w:val="18"/>
        </w:rPr>
        <w:t>0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05</w:t>
      </w:r>
      <w:r>
        <w:rPr>
          <w:rFonts w:ascii="LMRoman9" w:hAnsi="LMRoman9" w:eastAsia="LMRoman9"/>
          <w:b w:val="0"/>
          <w:i w:val="0"/>
          <w:color w:val="000000"/>
          <w:sz w:val="18"/>
        </w:rPr>
        <w:t>).</w:t>
      </w:r>
    </w:p>
    <w:p>
      <w:pPr>
        <w:autoSpaceDN w:val="0"/>
        <w:autoSpaceDE w:val="0"/>
        <w:widowControl/>
        <w:spacing w:line="200" w:lineRule="exact" w:before="8" w:after="0"/>
        <w:ind w:left="0" w:right="0" w:firstLine="198"/>
        <w:jc w:val="left"/>
      </w:pPr>
      <w:r>
        <w:rPr>
          <w:rFonts w:ascii="LMRoman9" w:hAnsi="LMRoman9" w:eastAsia="LMRoman9"/>
          <w:b w:val="0"/>
          <w:i w:val="0"/>
          <w:color w:val="000000"/>
          <w:sz w:val="18"/>
        </w:rPr>
        <w:t>Index</w:t>
      </w:r>
      <w:r>
        <w:rPr>
          <w:rFonts w:ascii="LMRoman9" w:hAnsi="LMRoman9" w:eastAsia="LMRoman9"/>
          <w:b w:val="0"/>
          <w:i w:val="0"/>
          <w:color w:val="000000"/>
          <w:sz w:val="18"/>
        </w:rPr>
        <w:t>Terms—Internet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Cosas,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Ciberseguridad,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Siste-</w:t>
      </w:r>
      <w:r>
        <w:rPr>
          <w:rFonts w:ascii="LMRoman9" w:hAnsi="LMRoman9" w:eastAsia="LMRoman9"/>
          <w:b w:val="0"/>
          <w:i w:val="0"/>
          <w:color w:val="000000"/>
          <w:sz w:val="18"/>
        </w:rPr>
        <w:t>ma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Detección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Intrusiones,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Stacking</w:t>
      </w:r>
      <w:r>
        <w:rPr>
          <w:rFonts w:ascii="LMRoman9" w:hAnsi="LMRoman9" w:eastAsia="LMRoman9"/>
          <w:b w:val="0"/>
          <w:i w:val="0"/>
          <w:color w:val="000000"/>
          <w:sz w:val="18"/>
        </w:rPr>
        <w:t>Híbrido,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Entropía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</w:p>
    <w:p>
      <w:pPr>
        <w:sectPr>
          <w:type w:val="continuous"/>
          <w:pgSz w:w="12240" w:h="15840"/>
          <w:pgMar w:top="528" w:right="960" w:bottom="736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34" w:lineRule="exact" w:before="0" w:after="0"/>
        <w:ind w:left="120" w:right="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CICIoT2023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[2],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más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95 %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muestras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corres-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ponden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tráfico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legítimo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volumétricos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masivos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(DDoS/DoS).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marcada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asimetría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genera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denomi-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nada Paradoja de la Exactitud (Accuracy Paradox), donde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clasificador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obtiene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métricas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globales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deceptivamente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elevadas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&gt;</w:t>
      </w:r>
      <w:r>
        <w:rPr>
          <w:rFonts w:ascii="CMR10" w:hAnsi="CMR10" w:eastAsia="CMR10"/>
          <w:b w:val="0"/>
          <w:i w:val="0"/>
          <w:color w:val="000000"/>
          <w:sz w:val="20"/>
        </w:rPr>
        <w:t>84 %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ignorando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completo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R10" w:hAnsi="CMR10" w:eastAsia="CMR10"/>
          <w:b w:val="0"/>
          <w:i w:val="0"/>
          <w:color w:val="000000"/>
          <w:sz w:val="20"/>
        </w:rPr>
        <w:t>Recall</w:t>
      </w:r>
      <w:r>
        <w:rPr>
          <w:rFonts w:ascii="CMSY10" w:hAnsi="CMSY10" w:eastAsia="CMSY10"/>
          <w:b w:val="0"/>
          <w:i/>
          <w:color w:val="000000"/>
          <w:sz w:val="20"/>
        </w:rPr>
        <w:t>→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)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intrusiones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infrecuentes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minoritarias,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tales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como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Web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(Web-based)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Fuerza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Bruta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(Brute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Force)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[3].</w:t>
      </w:r>
    </w:p>
    <w:p>
      <w:pPr>
        <w:autoSpaceDN w:val="0"/>
        <w:autoSpaceDE w:val="0"/>
        <w:widowControl/>
        <w:spacing w:line="240" w:lineRule="exact" w:before="0" w:after="0"/>
        <w:ind w:left="120" w:right="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resolver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problemática,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presente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trabajo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propone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evalúa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entorno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laboratorio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clasificación híbrido basado en la arquitectura de ensamble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niveles.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contribución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principal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radica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integración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componentes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clave:</w:t>
      </w:r>
    </w:p>
    <w:p>
      <w:pPr>
        <w:autoSpaceDN w:val="0"/>
        <w:autoSpaceDE w:val="0"/>
        <w:widowControl/>
        <w:spacing w:line="240" w:lineRule="exact" w:before="40" w:after="0"/>
        <w:ind w:left="616" w:right="20" w:hanging="276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1.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Sobremuestreo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Adaptativo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Frontera: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Aplica-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algoritmo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Borderline-SMOTE1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focalizado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exclusivamente 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peligro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S</w:t>
      </w:r>
      <w:r>
        <w:rPr>
          <w:rFonts w:ascii="CMR7" w:hAnsi="CMR7" w:eastAsia="CMR7"/>
          <w:b w:val="0"/>
          <w:i w:val="0"/>
          <w:color w:val="000000"/>
          <w:sz w:val="14"/>
        </w:rPr>
        <w:t>danger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evi-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tando la sobregeneración de datos sintéticos ruidosos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zonas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seguras.</w:t>
      </w:r>
    </w:p>
    <w:p>
      <w:pPr>
        <w:autoSpaceDN w:val="0"/>
        <w:autoSpaceDE w:val="0"/>
        <w:widowControl/>
        <w:spacing w:line="240" w:lineRule="exact" w:before="0" w:after="28"/>
        <w:ind w:left="616" w:right="20" w:hanging="276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2.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Meta-Características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Entrópicas: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Incorporación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Entropía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Shannon</w:t>
      </w:r>
      <w:r>
        <w:rPr>
          <w:rFonts w:ascii="CMMI10" w:hAnsi="CMMI10" w:eastAsia="CMMI10"/>
          <w:b w:val="0"/>
          <w:i/>
          <w:color w:val="000000"/>
          <w:sz w:val="20"/>
        </w:rPr>
        <w:t>H</w:t>
      </w:r>
      <w:r>
        <w:rPr>
          <w:rFonts w:ascii="CMR10" w:hAnsi="CMR10" w:eastAsia="CMR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x</w:t>
      </w:r>
      <w:r>
        <w:rPr>
          <w:rFonts w:ascii="CMR10" w:hAnsi="CMR10" w:eastAsia="CMR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distribucio-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probabilidad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0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(Random Forest, XGBoost GPU y LightGBM Base),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capturando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incertidumbre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como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señal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discriminante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meta-modelo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LightGBM</w:t>
      </w:r>
    </w:p>
    <w:p>
      <w:pPr>
        <w:sectPr>
          <w:type w:val="nextColumn"/>
          <w:pgSz w:w="12240" w:h="15840"/>
          <w:pgMar w:top="528" w:right="960" w:bottom="736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tabs>
          <w:tab w:pos="5756" w:val="left"/>
        </w:tabs>
        <w:autoSpaceDE w:val="0"/>
        <w:widowControl/>
        <w:spacing w:line="180" w:lineRule="exact" w:before="0" w:after="0"/>
        <w:ind w:left="0" w:right="0" w:firstLine="0"/>
        <w:jc w:val="left"/>
      </w:pPr>
      <w:r>
        <w:rPr>
          <w:rFonts w:ascii="LMRoman9" w:hAnsi="LMRoman9" w:eastAsia="LMRoman9"/>
          <w:b w:val="0"/>
          <w:i w:val="0"/>
          <w:color w:val="000000"/>
          <w:sz w:val="18"/>
        </w:rPr>
        <w:t>Shannon,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Borderline-SMOTE,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Ataques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Minoritarios.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1.</w:t>
      </w:r>
    </w:p>
    <w:p>
      <w:pPr>
        <w:autoSpaceDN w:val="0"/>
        <w:autoSpaceDE w:val="0"/>
        <w:widowControl/>
        <w:spacing w:line="200" w:lineRule="exact" w:before="40" w:after="20"/>
        <w:ind w:left="0" w:right="2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3.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Viabilidad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Pasarelas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Borde: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Perfilado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estricto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0.0" w:type="dxa"/>
      </w:tblPr>
      <w:tblGrid>
        <w:gridCol w:w="3433"/>
        <w:gridCol w:w="3433"/>
        <w:gridCol w:w="3433"/>
      </w:tblGrid>
      <w:tr>
        <w:trPr>
          <w:trHeight w:hRule="exact" w:val="236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0" w:right="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I.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1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Introducción</w:t>
            </w:r>
          </w:p>
        </w:tc>
        <w:tc>
          <w:tcPr>
            <w:tcW w:type="dxa" w:w="5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127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latencia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inferencia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ocupación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memoria</w:t>
            </w:r>
          </w:p>
        </w:tc>
      </w:tr>
    </w:tbl>
    <w:p>
      <w:pPr>
        <w:autoSpaceDN w:val="0"/>
        <w:autoSpaceDE w:val="0"/>
        <w:widowControl/>
        <w:spacing w:line="14" w:lineRule="exact" w:before="0" w:after="186"/>
        <w:ind w:left="0" w:right="0"/>
      </w:pPr>
    </w:p>
    <w:p>
      <w:pPr>
        <w:sectPr>
          <w:type w:val="continuous"/>
          <w:pgSz w:w="12240" w:h="15840"/>
          <w:pgMar w:top="528" w:right="960" w:bottom="736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4" w:lineRule="exact" w:before="0" w:after="0"/>
        <w:ind w:left="0" w:right="118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paradigma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Internet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Cosas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(IoT)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trans-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formado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arquitectura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tecnológica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global,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interconectan-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do millones de nodos sensores y pasarelas computacionales.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obstante,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rápida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proliferación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micro,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pequeñas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medianas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empresas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(MYPEs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PYMEs)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expandido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exponencialmente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superficie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exponiendo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las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redes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vectores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intrusión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heterogéneos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[1].</w:t>
      </w:r>
    </w:p>
    <w:p>
      <w:pPr>
        <w:sectPr>
          <w:type w:val="continuous"/>
          <w:pgSz w:w="12240" w:h="15840"/>
          <w:pgMar w:top="528" w:right="960" w:bottom="736" w:left="980" w:header="720" w:footer="720" w:gutter="0"/>
          <w:cols w:num="2" w:equalWidth="0">
            <w:col w:w="5142" w:space="0"/>
            <w:col w:w="5158" w:space="0"/>
          </w:cols>
          <w:docGrid w:linePitch="360"/>
        </w:sectPr>
      </w:pPr>
    </w:p>
    <w:p>
      <w:pPr>
        <w:autoSpaceDN w:val="0"/>
        <w:autoSpaceDE w:val="0"/>
        <w:widowControl/>
        <w:spacing w:line="226" w:lineRule="exact" w:before="0" w:after="0"/>
        <w:ind w:left="614" w:right="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RAM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garantizar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operabilidad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hardware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limitado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(Raspberry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Pi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/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Jetson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Nano)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formato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ONNX.</w:t>
      </w:r>
    </w:p>
    <w:p>
      <w:pPr>
        <w:autoSpaceDN w:val="0"/>
        <w:tabs>
          <w:tab w:pos="1924" w:val="left"/>
        </w:tabs>
        <w:autoSpaceDE w:val="0"/>
        <w:widowControl/>
        <w:spacing w:line="198" w:lineRule="exact" w:before="174" w:after="0"/>
        <w:ind w:left="152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II.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Trabajo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Relacionado</w:t>
      </w:r>
    </w:p>
    <w:p>
      <w:pPr>
        <w:autoSpaceDN w:val="0"/>
        <w:autoSpaceDE w:val="0"/>
        <w:widowControl/>
        <w:spacing w:line="240" w:lineRule="exact" w:before="64" w:after="40"/>
        <w:ind w:left="118" w:right="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literatura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reciente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NIDS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centrado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arquitecturas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Deep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Learning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(CNN,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LSTM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encoders)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clasificadores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ensamble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árboles</w:t>
      </w:r>
    </w:p>
    <w:p>
      <w:pPr>
        <w:sectPr>
          <w:type w:val="nextColumn"/>
          <w:pgSz w:w="12240" w:h="15840"/>
          <w:pgMar w:top="528" w:right="960" w:bottom="736" w:left="980" w:header="720" w:footer="720" w:gutter="0"/>
          <w:cols w:num="2" w:equalWidth="0">
            <w:col w:w="5142" w:space="0"/>
            <w:col w:w="5158" w:space="0"/>
          </w:cols>
          <w:docGrid w:linePitch="360"/>
        </w:sectPr>
      </w:pPr>
    </w:p>
    <w:p>
      <w:pPr>
        <w:autoSpaceDN w:val="0"/>
        <w:tabs>
          <w:tab w:pos="5260" w:val="left"/>
        </w:tabs>
        <w:autoSpaceDE w:val="0"/>
        <w:widowControl/>
        <w:spacing w:line="198" w:lineRule="exact" w:before="0" w:after="40"/>
        <w:ind w:left="19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 pesar de los avances en Machine Learning aplicados a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decisión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[1],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[3].</w:t>
      </w:r>
    </w:p>
    <w:p>
      <w:pPr>
        <w:sectPr>
          <w:type w:val="continuous"/>
          <w:pgSz w:w="12240" w:h="15840"/>
          <w:pgMar w:top="528" w:right="960" w:bottom="736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0" w:right="1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la ciberseguridad, los Sistemas de Detección de Intrusiones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Redes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(NIDS)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convencionales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enfrentan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desafío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crítico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desbalance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extremo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clases.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conjuntos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representativos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tráfico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moderno,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</w:p>
    <w:p>
      <w:pPr>
        <w:sectPr>
          <w:type w:val="continuous"/>
          <w:pgSz w:w="12240" w:h="15840"/>
          <w:pgMar w:top="528" w:right="960" w:bottom="736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120" w:right="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Sahoo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[1]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evaluaron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Deep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Neural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Networks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(DNN)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BoT-IoT,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exactitudes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superiores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98 %;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embargo,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dichos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sufrieron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severa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degradación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</w:p>
    <w:p>
      <w:pPr>
        <w:sectPr>
          <w:type w:val="nextColumn"/>
          <w:pgSz w:w="12240" w:h="15840"/>
          <w:pgMar w:top="528" w:right="960" w:bottom="736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sectPr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latencia de inferencia (</w:t>
      </w:r>
      <w:r>
        <w:rPr>
          <w:rFonts w:ascii="CMMI10" w:hAnsi="CMMI10" w:eastAsia="CMMI10"/>
          <w:b w:val="0"/>
          <w:i/>
          <w:color w:val="000000"/>
          <w:sz w:val="20"/>
        </w:rPr>
        <w:t>&gt;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100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 µs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) y requerimientos térmicos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inasumibles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pasarelas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borde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dedicada.</w:t>
      </w:r>
    </w:p>
    <w:p>
      <w:pPr>
        <w:autoSpaceDN w:val="0"/>
        <w:autoSpaceDE w:val="0"/>
        <w:widowControl/>
        <w:spacing w:line="238" w:lineRule="exact" w:before="2" w:after="0"/>
        <w:ind w:left="0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otro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lado,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[2]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presentaron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benchmark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CICIoT2023,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demostrando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algoritmos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XGBoost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y Random Forest superan a las redes neuronales densas en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velocidad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precisión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global.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embargo,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análisis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no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abordó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rebalanceo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minoritarias,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registrando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F1-Scores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inferiores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5 %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categorías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Web-based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Brute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Force.</w:t>
      </w:r>
    </w:p>
    <w:p>
      <w:pPr>
        <w:autoSpaceDN w:val="0"/>
        <w:autoSpaceDE w:val="0"/>
        <w:widowControl/>
        <w:spacing w:line="238" w:lineRule="exact" w:before="4" w:after="0"/>
        <w:ind w:left="0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ámbito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rebalanceo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sintético,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Chawla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al.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[4]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[5]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demostraron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Borderline-SMOTE1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SMOTE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convencional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concentrar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síntesis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instancias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espacio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frontera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clases.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187700" cy="1860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186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90"/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33"/>
        <w:gridCol w:w="3433"/>
        <w:gridCol w:w="3433"/>
      </w:tblGrid>
      <w:tr>
        <w:trPr>
          <w:trHeight w:hRule="exact" w:val="180"/>
        </w:trPr>
        <w:tc>
          <w:tcPr>
            <w:tcW w:type="dxa" w:w="5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presente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investigación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extiende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principio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acoplándolo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Figura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1.</w:t>
            </w:r>
          </w:p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10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Importancia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relativa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29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características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red</w:t>
            </w:r>
          </w:p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type w:val="continuous"/>
          <w:pgSz w:w="12240" w:h="15840"/>
          <w:pgMar w:top="506" w:right="960" w:bottom="732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meta-características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entrópicas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esquema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heterogéneo.</w:t>
      </w:r>
    </w:p>
    <w:p>
      <w:pPr>
        <w:autoSpaceDN w:val="0"/>
        <w:tabs>
          <w:tab w:pos="1736" w:val="left"/>
        </w:tabs>
        <w:autoSpaceDE w:val="0"/>
        <w:widowControl/>
        <w:spacing w:line="200" w:lineRule="exact" w:before="188" w:after="0"/>
        <w:ind w:left="125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III.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Metodología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Propuesta</w:t>
      </w:r>
    </w:p>
    <w:p>
      <w:pPr>
        <w:autoSpaceDN w:val="0"/>
        <w:tabs>
          <w:tab w:pos="696" w:val="left"/>
        </w:tabs>
        <w:autoSpaceDE w:val="0"/>
        <w:widowControl/>
        <w:spacing w:line="198" w:lineRule="exact" w:before="114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III-A.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Objeto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Estudio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Conjunto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Datos</w:t>
      </w:r>
    </w:p>
    <w:p>
      <w:pPr>
        <w:autoSpaceDN w:val="0"/>
        <w:autoSpaceDE w:val="0"/>
        <w:widowControl/>
        <w:spacing w:line="240" w:lineRule="exact" w:before="68" w:after="0"/>
        <w:ind w:left="0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utilizó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dataset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estandarizado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internacional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CIoT2023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[2],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generado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entorno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físico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33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dispositivos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(cámaras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sensores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ambientales,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altavoces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inteligentes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concentradores).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procesaron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63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archivos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CSV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masivos,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consolidando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muestra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inicial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515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889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flujos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red.</w:t>
      </w:r>
    </w:p>
    <w:p>
      <w:pPr>
        <w:autoSpaceDN w:val="0"/>
        <w:tabs>
          <w:tab w:pos="688" w:val="left"/>
        </w:tabs>
        <w:autoSpaceDE w:val="0"/>
        <w:widowControl/>
        <w:spacing w:line="198" w:lineRule="exact" w:before="184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III-B.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Higiene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Preprocesamiento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Datos</w:t>
      </w:r>
    </w:p>
    <w:p>
      <w:pPr>
        <w:autoSpaceDN w:val="0"/>
        <w:autoSpaceDE w:val="0"/>
        <w:widowControl/>
        <w:spacing w:line="200" w:lineRule="exact" w:before="108" w:after="0"/>
        <w:ind w:left="19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flujo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preprocesamiento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incluyó:</w:t>
      </w:r>
    </w:p>
    <w:p>
      <w:pPr>
        <w:autoSpaceDN w:val="0"/>
        <w:autoSpaceDE w:val="0"/>
        <w:widowControl/>
        <w:spacing w:line="238" w:lineRule="exact" w:before="46" w:after="0"/>
        <w:ind w:left="4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Depuración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Registros: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Eliminación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valores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nulos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(NaN),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infinitos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(Inf)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duplicados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exactos,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158" w:lineRule="exact" w:before="0" w:after="0"/>
        <w:ind w:left="12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seleccionadas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mediante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reducción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impureza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Gini.</w:t>
      </w:r>
    </w:p>
    <w:p>
      <w:pPr>
        <w:autoSpaceDN w:val="0"/>
        <w:autoSpaceDE w:val="0"/>
        <w:widowControl/>
        <w:spacing w:line="240" w:lineRule="auto" w:before="272" w:after="0"/>
        <w:ind w:left="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187700" cy="1595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159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966" w:val="left"/>
        </w:tabs>
        <w:autoSpaceDE w:val="0"/>
        <w:widowControl/>
        <w:spacing w:line="158" w:lineRule="exact" w:before="230" w:after="0"/>
        <w:ind w:left="12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Figura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2. </w:t>
      </w:r>
      <w:r>
        <w:tab/>
      </w:r>
      <w:r>
        <w:rPr>
          <w:rFonts w:ascii="LMRoman8" w:hAnsi="LMRoman8" w:eastAsia="LMRoman8"/>
          <w:b w:val="0"/>
          <w:i w:val="0"/>
          <w:color w:val="000000"/>
          <w:sz w:val="16"/>
        </w:rPr>
        <w:t>Distribución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clases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minoritarias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antes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después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del</w:t>
      </w:r>
    </w:p>
    <w:p>
      <w:pPr>
        <w:autoSpaceDN w:val="0"/>
        <w:autoSpaceDE w:val="0"/>
        <w:widowControl/>
        <w:spacing w:line="184" w:lineRule="exact" w:before="20" w:after="0"/>
        <w:ind w:left="12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sobremuestreo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adaptativo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frontera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6" w:hAnsi="CMR6" w:eastAsia="CMR6"/>
          <w:b w:val="0"/>
          <w:i w:val="0"/>
          <w:color w:val="000000"/>
          <w:sz w:val="12"/>
        </w:rPr>
        <w:t>danger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Borderline-</w:t>
      </w:r>
    </w:p>
    <w:p>
      <w:pPr>
        <w:autoSpaceDN w:val="0"/>
        <w:autoSpaceDE w:val="0"/>
        <w:widowControl/>
        <w:spacing w:line="160" w:lineRule="exact" w:before="0" w:after="228"/>
        <w:ind w:left="12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SMOTE1.</w:t>
      </w:r>
    </w:p>
    <w:p>
      <w:pPr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390"/>
        </w:trPr>
        <w:tc>
          <w:tcPr>
            <w:tcW w:type="dxa" w:w="514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preservando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distribución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priori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clases.</w:t>
            </w:r>
          </w:p>
          <w:p>
            <w:pPr>
              <w:autoSpaceDN w:val="0"/>
              <w:autoSpaceDE w:val="0"/>
              <w:widowControl/>
              <w:spacing w:line="236" w:lineRule="exact" w:before="0" w:after="0"/>
              <w:ind w:left="422" w:right="120" w:firstLine="0"/>
              <w:jc w:val="both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Escalado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Robusto: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Normalización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RobustScaler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basada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Mediana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Rango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Intercuartílico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IQR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):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III-D.</w:t>
            </w:r>
          </w:p>
        </w:tc>
        <w:tc>
          <w:tcPr>
            <w:tcW w:type="dxa" w:w="44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Arquitectura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Stacking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Híbrida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Entropía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</w:p>
        </w:tc>
      </w:tr>
      <w:tr>
        <w:trPr>
          <w:trHeight w:hRule="exact" w:val="520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514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Shannon</w:t>
            </w:r>
          </w:p>
          <w:p>
            <w:pPr>
              <w:autoSpaceDN w:val="0"/>
              <w:tabs>
                <w:tab w:pos="318" w:val="left"/>
              </w:tabs>
              <w:autoSpaceDE w:val="0"/>
              <w:widowControl/>
              <w:spacing w:line="240" w:lineRule="exact" w:before="5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arquitectura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organiza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niveles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jerárquicos: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Nivel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(Modelos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Base):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entrenaron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forma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es-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tratificada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validación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cruzada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fuera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pliegue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(OOF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3-Fold)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clasificadores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heterogéneos:</w:t>
            </w:r>
          </w:p>
          <w:p>
            <w:pPr>
              <w:autoSpaceDN w:val="0"/>
              <w:tabs>
                <w:tab w:pos="616" w:val="left"/>
              </w:tabs>
              <w:autoSpaceDE w:val="0"/>
              <w:widowControl/>
              <w:spacing w:line="240" w:lineRule="exact" w:before="28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Random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100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árboles,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max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_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depth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= </w:t>
            </w:r>
            <w:r>
              <w:tab/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).</w:t>
            </w:r>
          </w:p>
        </w:tc>
      </w:tr>
      <w:tr>
        <w:trPr>
          <w:trHeight w:hRule="exact" w:val="560"/>
        </w:trPr>
        <w:tc>
          <w:tcPr>
            <w:tcW w:type="dxa" w:w="3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0" w:right="37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ij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Q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</w:t>
            </w:r>
          </w:p>
          <w:p>
            <w:pPr>
              <w:autoSpaceDN w:val="0"/>
              <w:autoSpaceDE w:val="0"/>
              <w:widowControl/>
              <w:spacing w:line="216" w:lineRule="exact" w:before="0" w:after="0"/>
              <w:ind w:left="0" w:right="556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IQR(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52" w:after="0"/>
              <w:ind w:left="0" w:right="1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(1)</w:t>
            </w:r>
          </w:p>
        </w:tc>
        <w:tc>
          <w:tcPr>
            <w:tcW w:type="dxa" w:w="6006"/>
            <w:gridSpan w:val="7"/>
            <w:vMerge/>
            <w:tcBorders/>
          </w:tcPr>
          <w:p/>
        </w:tc>
      </w:tr>
      <w:tr>
        <w:trPr>
          <w:trHeight w:hRule="exact" w:val="680"/>
        </w:trPr>
        <w:tc>
          <w:tcPr>
            <w:tcW w:type="dxa" w:w="514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4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resistente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ráfagas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valores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atípicos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pasajeros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(outliers).</w:t>
            </w:r>
          </w:p>
          <w:p>
            <w:pPr>
              <w:autoSpaceDN w:val="0"/>
              <w:autoSpaceDE w:val="0"/>
              <w:widowControl/>
              <w:spacing w:line="240" w:lineRule="exact" w:before="0" w:after="0"/>
              <w:ind w:left="422" w:right="120" w:firstLine="0"/>
              <w:jc w:val="both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Selección de Características: Aplicación del criterio de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Reducción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Impureza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Gini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sobre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ensamble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preliminar,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seleccionando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29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variables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continuas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discriminantes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tráfico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(ver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Fig.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1).</w:t>
            </w:r>
          </w:p>
        </w:tc>
        <w:tc>
          <w:tcPr>
            <w:tcW w:type="dxa" w:w="6006"/>
            <w:gridSpan w:val="7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GPU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6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tree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_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method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12" w:after="0"/>
              <w:ind w:left="132" w:right="0" w:firstLine="0"/>
              <w:jc w:val="left"/>
            </w:pP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hist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,</w:t>
            </w:r>
          </w:p>
        </w:tc>
      </w:tr>
      <w:tr>
        <w:trPr>
          <w:trHeight w:hRule="exact" w:val="260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51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24" w:after="0"/>
              <w:ind w:left="6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device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=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cuda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).</w:t>
            </w:r>
          </w:p>
        </w:tc>
      </w:tr>
      <w:tr>
        <w:trPr>
          <w:trHeight w:hRule="exact" w:val="260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LightGBM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6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num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_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leaves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6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31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,</w:t>
            </w:r>
          </w:p>
        </w:tc>
      </w:tr>
      <w:tr>
        <w:trPr>
          <w:trHeight w:hRule="exact" w:val="138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514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6" w:after="0"/>
              <w:ind w:left="6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learning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_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rate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=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).</w:t>
            </w:r>
          </w:p>
          <w:p>
            <w:pPr>
              <w:autoSpaceDN w:val="0"/>
              <w:autoSpaceDE w:val="0"/>
              <w:widowControl/>
              <w:spacing w:line="260" w:lineRule="exact" w:before="12" w:after="0"/>
              <w:ind w:left="120" w:right="0" w:firstLine="198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modelo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emitió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vector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probabilidades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mul-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ticlase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m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0"/>
              </w:rPr>
              <w:t>R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8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partir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estas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distribuciones,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</w:p>
        </w:tc>
      </w:tr>
      <w:tr>
        <w:trPr>
          <w:trHeight w:hRule="exact" w:val="322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III-C.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Sobremuestreo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Adaptativo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Borderline-</w:t>
            </w:r>
          </w:p>
        </w:tc>
        <w:tc>
          <w:tcPr>
            <w:tcW w:type="dxa" w:w="6006"/>
            <w:gridSpan w:val="7"/>
            <w:vMerge/>
            <w:tcBorders/>
          </w:tcPr>
          <w:p/>
        </w:tc>
      </w:tr>
      <w:tr>
        <w:trPr>
          <w:trHeight w:hRule="exact" w:val="262"/>
        </w:trPr>
        <w:tc>
          <w:tcPr>
            <w:tcW w:type="dxa" w:w="51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SMOTE1</w:t>
            </w:r>
          </w:p>
        </w:tc>
        <w:tc>
          <w:tcPr>
            <w:tcW w:type="dxa" w:w="6006"/>
            <w:gridSpan w:val="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56"/>
        <w:ind w:left="0" w:right="0"/>
      </w:pPr>
    </w:p>
    <w:p>
      <w:pPr>
        <w:sectPr>
          <w:type w:val="continuous"/>
          <w:pgSz w:w="12240" w:h="15840"/>
          <w:pgMar w:top="506" w:right="960" w:bottom="732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0"/>
        <w:ind w:left="0" w:right="0" w:firstLine="198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mitigar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desbalance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extremo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R10" w:hAnsi="CMR10" w:eastAsia="CMR10"/>
          <w:b w:val="0"/>
          <w:i w:val="0"/>
          <w:color w:val="000000"/>
          <w:sz w:val="20"/>
        </w:rPr>
        <w:t>IR = 41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75 : 1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identificó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conjunto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instancias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minoritarias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peligro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exact" w:before="2" w:after="76"/>
        <w:ind w:left="12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calculó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Entropía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Shannon</w:t>
      </w:r>
      <w:r>
        <w:rPr>
          <w:rFonts w:ascii="CMMI10" w:hAnsi="CMMI10" w:eastAsia="CMMI10"/>
          <w:b w:val="0"/>
          <w:i/>
          <w:color w:val="000000"/>
          <w:sz w:val="20"/>
        </w:rPr>
        <w:t>H</w:t>
      </w:r>
      <w:r>
        <w:rPr>
          <w:rFonts w:ascii="CMMI7" w:hAnsi="CMMI7" w:eastAsia="CMMI7"/>
          <w:b w:val="0"/>
          <w:i/>
          <w:color w:val="000000"/>
          <w:sz w:val="14"/>
        </w:rPr>
        <w:t>m</w:t>
      </w:r>
      <w:r>
        <w:rPr>
          <w:rFonts w:ascii="CMR10" w:hAnsi="CMR10" w:eastAsia="CMR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x</w:t>
      </w:r>
      <w:r>
        <w:rPr>
          <w:rFonts w:ascii="CMR10" w:hAnsi="CMR10" w:eastAsia="CMR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medida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incertidumbre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clasificador:</w:t>
      </w:r>
    </w:p>
    <w:p>
      <w:pPr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rHeight w:hRule="exact" w:val="224"/>
        </w:trPr>
        <w:tc>
          <w:tcPr>
            <w:tcW w:type="dxa" w:w="51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20" w:firstLine="0"/>
              <w:jc w:val="both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danger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⊂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definidas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aquellas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cuyos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vecinos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más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cercanos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contienen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entre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k/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ejemplos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clase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mayoritaria.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generaron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muestras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sintéticas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largo</w:t>
            </w:r>
          </w:p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segmentos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recta:</w:t>
            </w:r>
          </w:p>
        </w:tc>
        <w:tc>
          <w:tcPr>
            <w:tcW w:type="dxa" w:w="514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" w:after="0"/>
              <w:ind w:left="0" w:right="313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0"/>
              </w:rPr>
              <w:t>∑</w:t>
            </w:r>
          </w:p>
        </w:tc>
      </w:tr>
      <w:tr>
        <w:trPr>
          <w:trHeight w:hRule="exact" w:val="260"/>
        </w:trPr>
        <w:tc>
          <w:tcPr>
            <w:tcW w:type="dxa" w:w="2808"/>
            <w:gridSpan w:val="3"/>
            <w:vMerge/>
            <w:tcBorders/>
          </w:tcPr>
          <w:p/>
        </w:tc>
        <w:tc>
          <w:tcPr>
            <w:tcW w:type="dxa" w:w="1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7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H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 =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−</w:t>
            </w:r>
          </w:p>
        </w:tc>
        <w:tc>
          <w:tcPr>
            <w:tcW w:type="dxa" w:w="27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8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c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 log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c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(3)</w:t>
            </w:r>
          </w:p>
        </w:tc>
      </w:tr>
      <w:tr>
        <w:trPr>
          <w:trHeight w:hRule="exact" w:val="520"/>
        </w:trPr>
        <w:tc>
          <w:tcPr>
            <w:tcW w:type="dxa" w:w="2808"/>
            <w:gridSpan w:val="3"/>
            <w:vMerge/>
            <w:tcBorders/>
          </w:tcPr>
          <w:p/>
        </w:tc>
        <w:tc>
          <w:tcPr>
            <w:tcW w:type="dxa" w:w="5140"/>
            <w:gridSpan w:val="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8" w:val="left"/>
                <w:tab w:pos="1730" w:val="left"/>
              </w:tabs>
              <w:autoSpaceDE w:val="0"/>
              <w:widowControl/>
              <w:spacing w:line="244" w:lineRule="exact" w:before="0" w:after="0"/>
              <w:ind w:left="120" w:right="0" w:firstLine="0"/>
              <w:jc w:val="left"/>
            </w:pPr>
            <w:r>
              <w:tab/>
            </w:r>
            <w:r>
              <w:tab/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 xml:space="preserve">=1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Tensor de Meta-Características 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Z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0"/>
              </w:rPr>
              <w:t>R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27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): Se construyó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concatenando las 24 probabilidades proyectadas (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) con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entropías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calculadas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H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RF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 H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XGB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 H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LGB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).</w:t>
            </w:r>
          </w:p>
        </w:tc>
      </w:tr>
      <w:tr>
        <w:trPr>
          <w:trHeight w:hRule="exact" w:val="460"/>
        </w:trPr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94" w:after="0"/>
              <w:ind w:left="0" w:right="11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new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δ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·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94" w:after="0"/>
              <w:ind w:left="11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δ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∼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U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1)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92" w:after="0"/>
              <w:ind w:left="0" w:right="1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(2)</w:t>
            </w:r>
          </w:p>
        </w:tc>
        <w:tc>
          <w:tcPr>
            <w:tcW w:type="dxa" w:w="7488"/>
            <w:gridSpan w:val="8"/>
            <w:vMerge/>
            <w:tcBorders/>
          </w:tcPr>
          <w:p/>
        </w:tc>
      </w:tr>
      <w:tr>
        <w:trPr>
          <w:trHeight w:hRule="exact" w:val="190"/>
        </w:trPr>
        <w:tc>
          <w:tcPr>
            <w:tcW w:type="dxa" w:w="5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elevando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muestra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entrenamiento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Web-based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Nivel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(Meta-Modelo):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optimizó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meta-</w:t>
            </w:r>
          </w:p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type w:val="continuous"/>
          <w:pgSz w:w="12240" w:h="15840"/>
          <w:pgMar w:top="506" w:right="960" w:bottom="732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4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0"/>
        </w:rPr>
        <w:t>50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000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observaciones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sintéticas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balanceadas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(ver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Fig.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2).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14" w:space="0"/>
            <w:col w:w="5186" w:space="0"/>
          </w:cols>
          <w:docGrid w:linePitch="360"/>
        </w:sectPr>
      </w:pPr>
    </w:p>
    <w:p>
      <w:pPr>
        <w:autoSpaceDN w:val="0"/>
        <w:autoSpaceDE w:val="0"/>
        <w:widowControl/>
        <w:spacing w:line="204" w:lineRule="exact" w:before="0" w:after="0"/>
        <w:ind w:left="14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clasificador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LightGBM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mediante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GridSearchCV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CMMI10" w:hAnsi="CMMI10" w:eastAsia="CMMI10"/>
          <w:b w:val="0"/>
          <w:i/>
          <w:color w:val="000000"/>
          <w:sz w:val="20"/>
        </w:rPr>
        <w:t>Z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,</w:t>
      </w:r>
    </w:p>
    <w:p>
      <w:pPr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14" w:space="0"/>
            <w:col w:w="518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</w:tblGrid>
      <w:tr>
        <w:trPr>
          <w:trHeight w:hRule="exact" w:val="568"/>
        </w:trPr>
        <w:tc>
          <w:tcPr>
            <w:tcW w:type="dxa" w:w="51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aprendiendo las fortalezas relativas y zonas de incertidum-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clasificadores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base.</w:t>
            </w:r>
          </w:p>
        </w:tc>
        <w:tc>
          <w:tcPr>
            <w:tcW w:type="dxa" w:w="5120"/>
            <w:gridSpan w:val="3"/>
            <w:vMerge w:val="restart"/>
            <w:tcBorders>
              <w:bottom w:sz="3.98529601097106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187700" cy="255143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700" cy="2551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Recall</w:t>
            </w:r>
          </w:p>
        </w:tc>
      </w:tr>
      <w:tr>
        <w:trPr>
          <w:trHeight w:hRule="exact" w:val="420"/>
        </w:trPr>
        <w:tc>
          <w:tcPr>
            <w:tcW w:type="dxa" w:w="16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8" w:after="0"/>
              <w:ind w:left="0" w:right="10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IV.</w:t>
            </w:r>
          </w:p>
        </w:tc>
        <w:tc>
          <w:tcPr>
            <w:tcW w:type="dxa" w:w="352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8" w:after="0"/>
              <w:ind w:left="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Resultados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Discusión</w:t>
            </w:r>
          </w:p>
        </w:tc>
        <w:tc>
          <w:tcPr>
            <w:tcW w:type="dxa" w:w="3435"/>
            <w:gridSpan w:val="3"/>
            <w:vMerge/>
            <w:tcBorders>
              <w:bottom w:sz="3.9852960109710693" w:val="single" w:color="#000000"/>
            </w:tcBorders>
          </w:tcPr>
          <w:p/>
        </w:tc>
      </w:tr>
      <w:tr>
        <w:trPr>
          <w:trHeight w:hRule="exact" w:val="340"/>
        </w:trPr>
        <w:tc>
          <w:tcPr>
            <w:tcW w:type="dxa" w:w="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4" w:after="0"/>
              <w:ind w:left="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IV-A.</w:t>
            </w:r>
          </w:p>
        </w:tc>
        <w:tc>
          <w:tcPr>
            <w:tcW w:type="dxa" w:w="45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4" w:after="0"/>
              <w:ind w:left="11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Evaluación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Conjunto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Prueba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Aislado</w:t>
            </w:r>
          </w:p>
        </w:tc>
        <w:tc>
          <w:tcPr>
            <w:tcW w:type="dxa" w:w="3435"/>
            <w:gridSpan w:val="3"/>
            <w:vMerge/>
            <w:tcBorders>
              <w:bottom w:sz="3.9852960109710693" w:val="single" w:color="#000000"/>
            </w:tcBorders>
          </w:tcPr>
          <w:p/>
        </w:tc>
      </w:tr>
      <w:tr>
        <w:trPr>
          <w:trHeight w:hRule="exact" w:val="2538"/>
        </w:trPr>
        <w:tc>
          <w:tcPr>
            <w:tcW w:type="dxa" w:w="5168"/>
            <w:gridSpan w:val="6"/>
            <w:tcBorders>
              <w:bottom w:sz="6.3762321472167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0" w:after="0"/>
              <w:ind w:left="8" w:right="140" w:firstLine="198"/>
              <w:jc w:val="both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 evaluación se ejecutó sobre la partición independien-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prueba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N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test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377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383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observaciones,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20 %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del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total)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jamás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intervino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entrenamiento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ni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sobremuestreo.</w:t>
            </w:r>
          </w:p>
          <w:p>
            <w:pPr>
              <w:autoSpaceDN w:val="0"/>
              <w:tabs>
                <w:tab w:pos="206" w:val="left"/>
              </w:tabs>
              <w:autoSpaceDE w:val="0"/>
              <w:widowControl/>
              <w:spacing w:line="238" w:lineRule="exact" w:before="12" w:after="0"/>
              <w:ind w:left="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presenta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análisis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comparativo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frente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7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clasificadores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control.</w:t>
            </w:r>
          </w:p>
          <w:p>
            <w:pPr>
              <w:autoSpaceDN w:val="0"/>
              <w:autoSpaceDE w:val="0"/>
              <w:widowControl/>
              <w:spacing w:line="182" w:lineRule="exact" w:before="286" w:after="0"/>
              <w:ind w:left="432" w:right="576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Tabla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I </w:t>
            </w:r>
            <w:r>
              <w:br/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Comparativa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Desempeño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sobre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Test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Set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Aislado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 377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 383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435"/>
            <w:gridSpan w:val="3"/>
            <w:vMerge/>
            <w:tcBorders>
              <w:bottom w:sz="3.9852960109710693" w:val="single" w:color="#000000"/>
            </w:tcBorders>
          </w:tcPr>
          <w:p/>
        </w:tc>
      </w:tr>
      <w:tr>
        <w:trPr>
          <w:trHeight w:hRule="exact" w:val="284"/>
        </w:trPr>
        <w:tc>
          <w:tcPr>
            <w:tcW w:type="dxa" w:w="2428"/>
            <w:gridSpan w:val="3"/>
            <w:tcBorders>
              <w:top w:sz="6.376232147216797" w:val="single" w:color="#000000"/>
              <w:bottom w:sz="3.98529601097106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Modelo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Evaluado</w:t>
            </w:r>
          </w:p>
        </w:tc>
        <w:tc>
          <w:tcPr>
            <w:tcW w:type="dxa" w:w="960"/>
            <w:tcBorders>
              <w:top w:sz="6.376232147216797" w:val="single" w:color="#000000"/>
              <w:bottom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F1-Macro</w:t>
            </w:r>
          </w:p>
        </w:tc>
        <w:tc>
          <w:tcPr>
            <w:tcW w:type="dxa" w:w="920"/>
            <w:tcBorders>
              <w:top w:sz="6.376232147216797" w:val="single" w:color="#000000"/>
              <w:bottom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Accuracy</w:t>
            </w:r>
          </w:p>
        </w:tc>
        <w:tc>
          <w:tcPr>
            <w:tcW w:type="dxa" w:w="860"/>
            <w:tcBorders>
              <w:top w:sz="6.376232147216797" w:val="single" w:color="#000000"/>
              <w:bottom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Precision</w:t>
            </w:r>
          </w:p>
        </w:tc>
        <w:tc>
          <w:tcPr>
            <w:tcW w:type="dxa" w:w="3435"/>
            <w:gridSpan w:val="3"/>
            <w:vMerge/>
            <w:tcBorders>
              <w:bottom w:sz="3.9852960109710693" w:val="single" w:color="#000000"/>
            </w:tcBorders>
          </w:tcPr>
          <w:p/>
        </w:tc>
      </w:tr>
      <w:tr>
        <w:trPr>
          <w:trHeight w:hRule="exact" w:val="238"/>
        </w:trPr>
        <w:tc>
          <w:tcPr>
            <w:tcW w:type="dxa" w:w="2428"/>
            <w:gridSpan w:val="3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Regresión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Logística</w:t>
            </w:r>
          </w:p>
        </w:tc>
        <w:tc>
          <w:tcPr>
            <w:tcW w:type="dxa" w:w="960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0.4220</w:t>
            </w:r>
          </w:p>
        </w:tc>
        <w:tc>
          <w:tcPr>
            <w:tcW w:type="dxa" w:w="920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0.6120</w:t>
            </w:r>
          </w:p>
        </w:tc>
        <w:tc>
          <w:tcPr>
            <w:tcW w:type="dxa" w:w="860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0.4105</w:t>
            </w:r>
          </w:p>
        </w:tc>
        <w:tc>
          <w:tcPr>
            <w:tcW w:type="dxa" w:w="780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0" w:after="0"/>
              <w:ind w:left="1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Figura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3.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0.4350</w:t>
            </w:r>
          </w:p>
        </w:tc>
        <w:tc>
          <w:tcPr>
            <w:tcW w:type="dxa" w:w="4340"/>
            <w:gridSpan w:val="2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5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Matriz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confusión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multiclase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normalizada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modelo</w:t>
            </w:r>
          </w:p>
        </w:tc>
      </w:tr>
      <w:tr>
        <w:trPr>
          <w:trHeight w:hRule="exact" w:val="180"/>
        </w:trPr>
        <w:tc>
          <w:tcPr>
            <w:tcW w:type="dxa" w:w="24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8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Árbol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CART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0.6651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0.8124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0.6720</w:t>
            </w:r>
          </w:p>
        </w:tc>
        <w:tc>
          <w:tcPr>
            <w:tcW w:type="dxa" w:w="49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Stacking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Híbrido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propuesto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sobre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test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set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aislado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 xml:space="preserve">test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0.6590</w:t>
            </w:r>
          </w:p>
          <w:p>
            <w:pPr>
              <w:autoSpaceDN w:val="0"/>
              <w:autoSpaceDE w:val="0"/>
              <w:widowControl/>
              <w:spacing w:line="164" w:lineRule="exact" w:before="0" w:after="0"/>
              <w:ind w:left="100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377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 383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).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0.6750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2" w:after="0"/>
              <w:ind w:left="0" w:right="0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</w:t>
            </w:r>
          </w:p>
        </w:tc>
      </w:tr>
      <w:tr>
        <w:trPr>
          <w:trHeight w:hRule="exact" w:val="190"/>
        </w:trPr>
        <w:tc>
          <w:tcPr>
            <w:tcW w:type="dxa" w:w="24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Random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Forest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Base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0.6791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0.8350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0.6840</w:t>
            </w:r>
          </w:p>
        </w:tc>
        <w:tc>
          <w:tcPr>
            <w:tcW w:type="dxa" w:w="2290"/>
            <w:gridSpan w:val="2"/>
            <w:vMerge/>
            <w:tcBorders/>
          </w:tcPr>
          <w:p/>
        </w:tc>
        <w:tc>
          <w:tcPr>
            <w:tcW w:type="dxa" w:w="1145"/>
            <w:vMerge/>
            <w:tcBorders/>
          </w:tcPr>
          <w:p/>
        </w:tc>
      </w:tr>
      <w:tr>
        <w:trPr>
          <w:trHeight w:hRule="exact" w:val="170"/>
        </w:trPr>
        <w:tc>
          <w:tcPr>
            <w:tcW w:type="dxa" w:w="24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LightGBM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Base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0.6953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0.8420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0.7010</w:t>
            </w:r>
          </w:p>
        </w:tc>
        <w:tc>
          <w:tcPr>
            <w:tcW w:type="dxa" w:w="512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172" w:right="4464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0.6910 </w:t>
            </w:r>
            <w:r>
              <w:br/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0.6920</w:t>
            </w:r>
          </w:p>
        </w:tc>
      </w:tr>
      <w:tr>
        <w:trPr>
          <w:trHeight w:hRule="exact" w:val="180"/>
        </w:trPr>
        <w:tc>
          <w:tcPr>
            <w:tcW w:type="dxa" w:w="24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XGBoost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GPU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Base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0.6960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0.8435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0.7025</w:t>
            </w:r>
          </w:p>
        </w:tc>
        <w:tc>
          <w:tcPr>
            <w:tcW w:type="dxa" w:w="3435"/>
            <w:gridSpan w:val="3"/>
            <w:vMerge/>
            <w:tcBorders/>
          </w:tcPr>
          <w:p/>
        </w:tc>
      </w:tr>
      <w:tr>
        <w:trPr>
          <w:trHeight w:hRule="exact" w:val="180"/>
        </w:trPr>
        <w:tc>
          <w:tcPr>
            <w:tcW w:type="dxa" w:w="24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RF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+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Borderline-SMOTE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0.6850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0.8290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0.6890</w:t>
            </w:r>
          </w:p>
        </w:tc>
        <w:tc>
          <w:tcPr>
            <w:tcW w:type="dxa" w:w="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IV-D.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0.6820</w:t>
            </w:r>
          </w:p>
          <w:p>
            <w:pPr>
              <w:autoSpaceDN w:val="0"/>
              <w:autoSpaceDE w:val="0"/>
              <w:widowControl/>
              <w:spacing w:line="160" w:lineRule="exact" w:before="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0.6950</w:t>
            </w:r>
          </w:p>
        </w:tc>
        <w:tc>
          <w:tcPr>
            <w:tcW w:type="dxa" w:w="434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Validación Estadística de Significancia (Wilcoxon)</w:t>
            </w:r>
          </w:p>
        </w:tc>
      </w:tr>
      <w:tr>
        <w:trPr>
          <w:trHeight w:hRule="exact" w:val="160"/>
        </w:trPr>
        <w:tc>
          <w:tcPr>
            <w:tcW w:type="dxa" w:w="2428"/>
            <w:gridSpan w:val="3"/>
            <w:vMerge w:val="restart"/>
            <w:tcBorders>
              <w:bottom w:sz="3.98529601097106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XGBoost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+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Borderline</w:t>
            </w:r>
          </w:p>
        </w:tc>
        <w:tc>
          <w:tcPr>
            <w:tcW w:type="dxa" w:w="960"/>
            <w:vMerge w:val="restart"/>
            <w:tcBorders>
              <w:bottom w:sz="3.98529601097106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0.6995</w:t>
            </w:r>
          </w:p>
        </w:tc>
        <w:tc>
          <w:tcPr>
            <w:tcW w:type="dxa" w:w="920"/>
            <w:vMerge w:val="restart"/>
            <w:tcBorders>
              <w:bottom w:sz="3.98529601097106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0.8460</w:t>
            </w:r>
          </w:p>
        </w:tc>
        <w:tc>
          <w:tcPr>
            <w:tcW w:type="dxa" w:w="860"/>
            <w:vMerge w:val="restart"/>
            <w:tcBorders>
              <w:bottom w:sz="3.98529601097106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0.7050</w:t>
            </w:r>
          </w:p>
        </w:tc>
        <w:tc>
          <w:tcPr>
            <w:tcW w:type="dxa" w:w="1145"/>
            <w:vMerge/>
            <w:tcBorders/>
          </w:tcPr>
          <w:p/>
        </w:tc>
        <w:tc>
          <w:tcPr>
            <w:tcW w:type="dxa" w:w="2290"/>
            <w:gridSpan w:val="2"/>
            <w:vMerge/>
            <w:tcBorders/>
          </w:tcPr>
          <w:p/>
        </w:tc>
      </w:tr>
      <w:tr>
        <w:trPr>
          <w:trHeight w:hRule="exact" w:val="76"/>
        </w:trPr>
        <w:tc>
          <w:tcPr>
            <w:tcW w:type="dxa" w:w="3435"/>
            <w:gridSpan w:val="3"/>
            <w:vMerge/>
            <w:tcBorders>
              <w:bottom w:sz="3.9852960109710693" w:val="single" w:color="#000000"/>
            </w:tcBorders>
          </w:tcPr>
          <w:p/>
        </w:tc>
        <w:tc>
          <w:tcPr>
            <w:tcW w:type="dxa" w:w="1145"/>
            <w:vMerge/>
            <w:tcBorders>
              <w:bottom w:sz="3.9852960109710693" w:val="single" w:color="#000000"/>
            </w:tcBorders>
          </w:tcPr>
          <w:p/>
        </w:tc>
        <w:tc>
          <w:tcPr>
            <w:tcW w:type="dxa" w:w="1145"/>
            <w:vMerge/>
            <w:tcBorders>
              <w:bottom w:sz="3.9852960109710693" w:val="single" w:color="#000000"/>
            </w:tcBorders>
          </w:tcPr>
          <w:p/>
        </w:tc>
        <w:tc>
          <w:tcPr>
            <w:tcW w:type="dxa" w:w="1145"/>
            <w:vMerge/>
            <w:tcBorders>
              <w:bottom w:sz="3.9852960109710693" w:val="single" w:color="#000000"/>
            </w:tcBorders>
          </w:tcPr>
          <w:p/>
        </w:tc>
        <w:tc>
          <w:tcPr>
            <w:tcW w:type="dxa" w:w="512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0" w:after="0"/>
              <w:ind w:left="17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0.6980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Para verificar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diferencias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observadas son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estadísti-</w:t>
            </w:r>
          </w:p>
          <w:p>
            <w:pPr>
              <w:autoSpaceDN w:val="0"/>
              <w:autoSpaceDE w:val="0"/>
              <w:widowControl/>
              <w:spacing w:line="200" w:lineRule="exact" w:before="0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camente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significativas,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dividió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bloques</w:t>
            </w:r>
          </w:p>
        </w:tc>
      </w:tr>
      <w:tr>
        <w:trPr>
          <w:trHeight w:hRule="exact" w:val="358"/>
        </w:trPr>
        <w:tc>
          <w:tcPr>
            <w:tcW w:type="dxa" w:w="2428"/>
            <w:gridSpan w:val="3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5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Stacking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Híbrido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(Propuesto)</w:t>
            </w:r>
          </w:p>
        </w:tc>
        <w:tc>
          <w:tcPr>
            <w:tcW w:type="dxa" w:w="960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5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0.7018</w:t>
            </w:r>
          </w:p>
        </w:tc>
        <w:tc>
          <w:tcPr>
            <w:tcW w:type="dxa" w:w="920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5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0.8485</w:t>
            </w:r>
          </w:p>
        </w:tc>
        <w:tc>
          <w:tcPr>
            <w:tcW w:type="dxa" w:w="860"/>
            <w:tcBorders>
              <w:top w:sz="3.985296010971069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5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0.7075</w:t>
            </w:r>
          </w:p>
        </w:tc>
        <w:tc>
          <w:tcPr>
            <w:tcW w:type="dxa" w:w="3435"/>
            <w:gridSpan w:val="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222"/>
        <w:ind w:left="0" w:right="0"/>
      </w:pPr>
    </w:p>
    <w:p>
      <w:pPr>
        <w:sectPr>
          <w:pgSz w:w="12240" w:h="15840"/>
          <w:pgMar w:top="506" w:right="960" w:bottom="732" w:left="9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0" w:after="200"/>
        <w:ind w:left="8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observa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Tabla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Híbrido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propuesto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obtiene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desempeño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superior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absoluto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F1-Macro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70.18 %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Accuracy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84.85 %,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CMR10" w:hAnsi="CMR10" w:eastAsia="CMR10"/>
          <w:b w:val="0"/>
          <w:i w:val="0"/>
          <w:color w:val="000000"/>
          <w:sz w:val="20"/>
        </w:rPr>
        <w:t>+0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58 %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F1-Macro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mejor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modelo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individual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(XGBoost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69.60 %).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2.000000000000028" w:type="dxa"/>
      </w:tblPr>
      <w:tblGrid>
        <w:gridCol w:w="5154"/>
        <w:gridCol w:w="5154"/>
      </w:tblGrid>
      <w:tr>
        <w:trPr>
          <w:trHeight w:hRule="exact" w:val="32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IV-B.</w:t>
            </w:r>
          </w:p>
        </w:tc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1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Recuperación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Clases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Minoritarias</w:t>
            </w:r>
          </w:p>
        </w:tc>
      </w:tr>
    </w:tbl>
    <w:p>
      <w:pPr>
        <w:autoSpaceDN w:val="0"/>
        <w:autoSpaceDE w:val="0"/>
        <w:widowControl/>
        <w:spacing w:line="240" w:lineRule="exact" w:before="36" w:after="0"/>
        <w:ind w:left="8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impacto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principal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hibridación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Borderline-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SMOTE1 se evidenció en las clases minoritarias infrecuen-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(ver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matriz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confusión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Fig.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3):</w:t>
      </w:r>
    </w:p>
    <w:p>
      <w:pPr>
        <w:autoSpaceDN w:val="0"/>
        <w:autoSpaceDE w:val="0"/>
        <w:widowControl/>
        <w:spacing w:line="238" w:lineRule="exact" w:before="66" w:after="0"/>
        <w:ind w:left="430" w:right="1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Fuerza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Bruta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(Brute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Force):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Score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incrementó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CMR10" w:hAnsi="CMR10" w:eastAsia="CMR10"/>
          <w:b w:val="0"/>
          <w:i w:val="0"/>
          <w:color w:val="000000"/>
          <w:sz w:val="20"/>
        </w:rPr>
        <w:t>12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30 %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modelos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rebalanceo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CMR10" w:hAnsi="CMR10" w:eastAsia="CMR10"/>
          <w:b w:val="0"/>
          <w:i w:val="0"/>
          <w:color w:val="000000"/>
          <w:sz w:val="20"/>
        </w:rPr>
        <w:t>41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40 %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Stacking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Híbrido.</w:t>
      </w:r>
    </w:p>
    <w:p>
      <w:pPr>
        <w:autoSpaceDN w:val="0"/>
        <w:autoSpaceDE w:val="0"/>
        <w:widowControl/>
        <w:spacing w:line="240" w:lineRule="exact" w:before="0" w:after="0"/>
        <w:ind w:left="430" w:right="1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Web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(Web-based):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F1-Score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aumentó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00 %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(colapso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predictivo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total)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CMR10" w:hAnsi="CMR10" w:eastAsia="CMR10"/>
          <w:b w:val="0"/>
          <w:i w:val="0"/>
          <w:color w:val="000000"/>
          <w:sz w:val="20"/>
        </w:rPr>
        <w:t>33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86 %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.</w:t>
      </w:r>
    </w:p>
    <w:p>
      <w:pPr>
        <w:sectPr>
          <w:type w:val="continuous"/>
          <w:pgSz w:w="12240" w:h="15840"/>
          <w:pgMar w:top="506" w:right="960" w:bottom="732" w:left="972" w:header="720" w:footer="720" w:gutter="0"/>
          <w:cols w:num="2" w:equalWidth="0">
            <w:col w:w="5148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0" w:after="0"/>
        <w:ind w:left="120" w:right="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independientes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rFonts w:ascii="CMMI7" w:hAnsi="CMMI7" w:eastAsia="CMMI7"/>
          <w:b w:val="0"/>
          <w:i/>
          <w:color w:val="000000"/>
          <w:sz w:val="14"/>
        </w:rPr>
        <w:t>b</w:t>
      </w:r>
      <w:r>
        <w:rPr>
          <w:rFonts w:ascii="CMSY10" w:hAnsi="CMSY10" w:eastAsia="CMSY10"/>
          <w:b w:val="0"/>
          <w:i/>
          <w:color w:val="000000"/>
          <w:sz w:val="20"/>
        </w:rPr>
        <w:t>≈</w:t>
      </w:r>
      <w:r>
        <w:rPr>
          <w:rFonts w:ascii="CMR10" w:hAnsi="CMR10" w:eastAsia="CMR10"/>
          <w:b w:val="0"/>
          <w:i w:val="0"/>
          <w:color w:val="000000"/>
          <w:sz w:val="20"/>
        </w:rPr>
        <w:t>12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579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muestras)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aplicó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la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Prueba No Paramétrica de Rangos con Signo de Wilcoxon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comparando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Híbrido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mejor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modelo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(XGBoost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GPU).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Fig.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4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ilustra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distribución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métricas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F1-Macro.</w:t>
      </w:r>
    </w:p>
    <w:p>
      <w:pPr>
        <w:autoSpaceDN w:val="0"/>
        <w:autoSpaceDE w:val="0"/>
        <w:widowControl/>
        <w:spacing w:line="240" w:lineRule="auto" w:before="210" w:after="0"/>
        <w:ind w:left="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187700" cy="19126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191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30"/>
        <w:sectPr>
          <w:type w:val="nextColumn"/>
          <w:pgSz w:w="12240" w:h="15840"/>
          <w:pgMar w:top="506" w:right="960" w:bottom="732" w:left="972" w:header="720" w:footer="720" w:gutter="0"/>
          <w:cols w:num="2" w:equalWidth="0">
            <w:col w:w="5148" w:space="0"/>
            <w:col w:w="516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2.000000000000028" w:type="dxa"/>
      </w:tblPr>
      <w:tblGrid>
        <w:gridCol w:w="3436"/>
        <w:gridCol w:w="3436"/>
        <w:gridCol w:w="3436"/>
      </w:tblGrid>
      <w:tr>
        <w:trPr>
          <w:trHeight w:hRule="exact" w:val="318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IV-C.</w:t>
            </w:r>
          </w:p>
        </w:tc>
        <w:tc>
          <w:tcPr>
            <w:tcW w:type="dxa" w:w="4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Perfilado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Computacional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Viabilidad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Borde</w:t>
            </w:r>
          </w:p>
        </w:tc>
        <w:tc>
          <w:tcPr>
            <w:tcW w:type="dxa" w:w="5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0" w:after="0"/>
              <w:ind w:left="120" w:right="0" w:firstLine="0"/>
              <w:jc w:val="both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Figura 4.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Distribución empírica del indicador F1-Macro a lo largo de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30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bloques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evaluación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independiente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para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Prueba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Wilcoxon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p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 = 0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003744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 &lt;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 0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05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).</w:t>
            </w:r>
          </w:p>
        </w:tc>
      </w:tr>
      <w:tr>
        <w:trPr>
          <w:trHeight w:hRule="exact" w:val="254"/>
        </w:trPr>
        <w:tc>
          <w:tcPr>
            <w:tcW w:type="dxa" w:w="5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2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midió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desempeño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computacional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tiempo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real</w:t>
            </w:r>
          </w:p>
        </w:tc>
        <w:tc>
          <w:tcPr>
            <w:tcW w:type="dxa" w:w="343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type w:val="continuous"/>
          <w:pgSz w:w="12240" w:h="15840"/>
          <w:pgMar w:top="506" w:right="960" w:bottom="732" w:left="9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0"/>
        <w:ind w:left="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hardware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representativo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pasarelas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borde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industriales:</w:t>
      </w:r>
    </w:p>
    <w:p>
      <w:pPr>
        <w:autoSpaceDN w:val="0"/>
        <w:autoSpaceDE w:val="0"/>
        <w:widowControl/>
        <w:spacing w:line="234" w:lineRule="exact" w:before="74" w:after="0"/>
        <w:ind w:left="43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Latencia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Inferencia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Muestra:</w:t>
      </w:r>
      <w:r>
        <w:rPr>
          <w:rFonts w:ascii="CMR10" w:hAnsi="CMR10" w:eastAsia="CMR10"/>
          <w:b w:val="0"/>
          <w:i w:val="0"/>
          <w:color w:val="000000"/>
          <w:sz w:val="20"/>
        </w:rPr>
        <w:t>8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65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 µs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(micro-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segundos).</w:t>
      </w:r>
    </w:p>
    <w:p>
      <w:pPr>
        <w:autoSpaceDN w:val="0"/>
        <w:autoSpaceDE w:val="0"/>
        <w:widowControl/>
        <w:spacing w:line="234" w:lineRule="exact" w:before="10" w:after="0"/>
        <w:ind w:left="43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Tasa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Procesamiento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(Throughput):</w:t>
      </w:r>
      <w:r>
        <w:rPr>
          <w:rFonts w:ascii="CMR10" w:hAnsi="CMR10" w:eastAsia="CMR10"/>
          <w:b w:val="0"/>
          <w:i w:val="0"/>
          <w:color w:val="000000"/>
          <w:sz w:val="20"/>
        </w:rPr>
        <w:t>115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613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segundo.</w:t>
      </w:r>
    </w:p>
    <w:p>
      <w:pPr>
        <w:autoSpaceDN w:val="0"/>
        <w:autoSpaceDE w:val="0"/>
        <w:widowControl/>
        <w:spacing w:line="234" w:lineRule="exact" w:before="10" w:after="0"/>
        <w:ind w:left="43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Ocupación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Memoria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RAM:</w:t>
      </w:r>
      <w:r>
        <w:rPr>
          <w:rFonts w:ascii="CMR10" w:hAnsi="CMR10" w:eastAsia="CMR10"/>
          <w:b w:val="0"/>
          <w:i w:val="0"/>
          <w:color w:val="000000"/>
          <w:sz w:val="20"/>
        </w:rPr>
        <w:t>257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89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MB,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cumplien-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holgadamente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límite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operacional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deseado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</w:p>
    <w:p>
      <w:pPr>
        <w:sectPr>
          <w:type w:val="continuous"/>
          <w:pgSz w:w="12240" w:h="15840"/>
          <w:pgMar w:top="506" w:right="960" w:bottom="732" w:left="972" w:header="720" w:footer="720" w:gutter="0"/>
          <w:cols w:num="2" w:equalWidth="0">
            <w:col w:w="5148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36" w:lineRule="exact" w:before="0" w:after="0"/>
        <w:ind w:left="120" w:right="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resultado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computó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estadístico</w:t>
      </w:r>
      <w:r>
        <w:rPr>
          <w:rFonts w:ascii="CMMI10" w:hAnsi="CMMI10" w:eastAsia="CMMI10"/>
          <w:b w:val="0"/>
          <w:i/>
          <w:color w:val="000000"/>
          <w:sz w:val="20"/>
        </w:rPr>
        <w:t>W</w:t>
      </w:r>
      <w:r>
        <w:rPr>
          <w:rFonts w:ascii="CMR7" w:hAnsi="CMR7" w:eastAsia="CMR7"/>
          <w:b w:val="0"/>
          <w:i w:val="0"/>
          <w:color w:val="000000"/>
          <w:sz w:val="14"/>
        </w:rPr>
        <w:t>+</w:t>
      </w:r>
      <w:r>
        <w:rPr>
          <w:rFonts w:ascii="CMR10" w:hAnsi="CMR10" w:eastAsia="CMR10"/>
          <w:b w:val="0"/>
          <w:i w:val="0"/>
          <w:color w:val="000000"/>
          <w:sz w:val="20"/>
        </w:rPr>
        <w:t>=</w:t>
      </w:r>
      <w:r>
        <w:rPr>
          <w:rFonts w:ascii="CMR10" w:hAnsi="CMR10" w:eastAsia="CMR10"/>
          <w:b w:val="0"/>
          <w:i w:val="0"/>
          <w:color w:val="000000"/>
          <w:sz w:val="20"/>
        </w:rPr>
        <w:t>95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un </w:t>
      </w:r>
      <w:r>
        <w:rPr>
          <w:rFonts w:ascii="CMMI10" w:hAnsi="CMMI10" w:eastAsia="CMMI10"/>
          <w:b w:val="0"/>
          <w:i/>
          <w:color w:val="000000"/>
          <w:sz w:val="20"/>
        </w:rPr>
        <w:t>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-valor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003744</w:t>
      </w:r>
      <w:r>
        <w:rPr>
          <w:rFonts w:ascii="CMMI10" w:hAnsi="CMMI10" w:eastAsia="CMMI10"/>
          <w:b w:val="0"/>
          <w:i/>
          <w:color w:val="000000"/>
          <w:sz w:val="20"/>
        </w:rPr>
        <w:t>&lt;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05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permitiendo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rechazar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formal-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Hipótesis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Nula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H</w:t>
      </w:r>
      <w:r>
        <w:rPr>
          <w:rFonts w:ascii="CMR7" w:hAnsi="CMR7" w:eastAsia="CMR7"/>
          <w:b w:val="0"/>
          <w:i w:val="0"/>
          <w:color w:val="000000"/>
          <w:sz w:val="14"/>
        </w:rPr>
        <w:t>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confirmar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superioridad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estadística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arquitectura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propuesta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CMR10" w:hAnsi="CMR10" w:eastAsia="CMR10"/>
          <w:b w:val="0"/>
          <w:i w:val="0"/>
          <w:color w:val="000000"/>
          <w:sz w:val="20"/>
        </w:rPr>
        <w:t>99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5 %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confianza.</w:t>
      </w:r>
    </w:p>
    <w:p>
      <w:pPr>
        <w:autoSpaceDN w:val="0"/>
        <w:tabs>
          <w:tab w:pos="2272" w:val="left"/>
        </w:tabs>
        <w:autoSpaceDE w:val="0"/>
        <w:widowControl/>
        <w:spacing w:line="200" w:lineRule="exact" w:before="138" w:after="0"/>
        <w:ind w:left="186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V.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Conclusiones</w:t>
      </w:r>
    </w:p>
    <w:p>
      <w:pPr>
        <w:autoSpaceDN w:val="0"/>
        <w:autoSpaceDE w:val="0"/>
        <w:widowControl/>
        <w:spacing w:line="200" w:lineRule="exact" w:before="94" w:after="40"/>
        <w:ind w:left="31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trabajo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desarrolló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evaluó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exitosamente</w:t>
      </w:r>
    </w:p>
    <w:p>
      <w:pPr>
        <w:sectPr>
          <w:type w:val="nextColumn"/>
          <w:pgSz w:w="12240" w:h="15840"/>
          <w:pgMar w:top="506" w:right="960" w:bottom="732" w:left="972" w:header="720" w:footer="720" w:gutter="0"/>
          <w:cols w:num="2" w:equalWidth="0">
            <w:col w:w="5148" w:space="0"/>
            <w:col w:w="5160" w:space="0"/>
          </w:cols>
          <w:docGrid w:linePitch="360"/>
        </w:sectPr>
      </w:pPr>
    </w:p>
    <w:p>
      <w:pPr>
        <w:autoSpaceDN w:val="0"/>
        <w:tabs>
          <w:tab w:pos="5268" w:val="left"/>
        </w:tabs>
        <w:autoSpaceDE w:val="0"/>
        <w:widowControl/>
        <w:spacing w:line="204" w:lineRule="exact" w:before="0" w:after="0"/>
        <w:ind w:left="43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0"/>
        </w:rPr>
        <w:t>300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MB.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híbrido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combina</w:t>
      </w:r>
    </w:p>
    <w:p>
      <w:pPr>
        <w:sectPr>
          <w:type w:val="continuous"/>
          <w:pgSz w:w="12240" w:h="15840"/>
          <w:pgMar w:top="506" w:right="960" w:bottom="732" w:left="9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0"/>
        <w:ind w:left="0" w:right="0"/>
      </w:pPr>
    </w:p>
    <w:p>
      <w:pPr>
        <w:autoSpaceDN w:val="0"/>
        <w:autoSpaceDE w:val="0"/>
        <w:widowControl/>
        <w:spacing w:line="228" w:lineRule="exact" w:before="0" w:after="0"/>
        <w:ind w:left="0" w:right="480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Random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Forest,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XGBoost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LightGBM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cuan-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tificación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incertidumbre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Entropía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Shannon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y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sobremuestreo en la frontera vía Borderline-SMOTE1 para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detección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minoritarios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redes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IoT.</w:t>
      </w:r>
    </w:p>
    <w:p>
      <w:pPr>
        <w:autoSpaceDN w:val="0"/>
        <w:autoSpaceDE w:val="0"/>
        <w:widowControl/>
        <w:spacing w:line="240" w:lineRule="exact" w:before="0" w:after="0"/>
        <w:ind w:left="0" w:right="480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hallazgos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demuestran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propuesta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alcanza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un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F1-Macro del 70.18 % y una Accuracy del 84.85 %,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restau-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sensibilidad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predictiva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minoritarios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destructivos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(Brute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Web-based)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comprometer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velocidad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operativa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R10" w:hAnsi="CMR10" w:eastAsia="CMR10"/>
          <w:b w:val="0"/>
          <w:i w:val="0"/>
          <w:color w:val="000000"/>
          <w:sz w:val="20"/>
        </w:rPr>
        <w:t>8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65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 µs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/muestra)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memoria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R10" w:hAnsi="CMR10" w:eastAsia="CMR10"/>
          <w:b w:val="0"/>
          <w:i w:val="0"/>
          <w:color w:val="000000"/>
          <w:sz w:val="20"/>
        </w:rPr>
        <w:t>257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89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MB).</w:t>
      </w:r>
    </w:p>
    <w:p>
      <w:pPr>
        <w:autoSpaceDN w:val="0"/>
        <w:autoSpaceDE w:val="0"/>
        <w:widowControl/>
        <w:spacing w:line="238" w:lineRule="exact" w:before="0" w:after="0"/>
        <w:ind w:left="0" w:right="480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trabajo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futuro,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contempla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despliegue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artefacto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exportado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formato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ONNX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pasarelas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físicas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entornos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reales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producción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MYPE/PYME.</w:t>
      </w:r>
    </w:p>
    <w:p>
      <w:pPr>
        <w:autoSpaceDN w:val="0"/>
        <w:autoSpaceDE w:val="0"/>
        <w:widowControl/>
        <w:spacing w:line="200" w:lineRule="exact" w:before="168" w:after="0"/>
        <w:ind w:left="201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Referencias</w:t>
      </w:r>
    </w:p>
    <w:p>
      <w:pPr>
        <w:autoSpaceDN w:val="0"/>
        <w:autoSpaceDE w:val="0"/>
        <w:widowControl/>
        <w:spacing w:line="180" w:lineRule="exact" w:before="106" w:after="0"/>
        <w:ind w:left="362" w:right="4800" w:hanging="278"/>
        <w:jc w:val="both"/>
      </w:pPr>
      <w:r>
        <w:rPr>
          <w:rFonts w:ascii="LMRoman8" w:hAnsi="LMRoman8" w:eastAsia="LMRoman8"/>
          <w:b w:val="0"/>
          <w:i w:val="0"/>
          <w:color w:val="000000"/>
          <w:sz w:val="16"/>
        </w:rPr>
        <w:t>[1]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Sahoo,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Tripathy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Sahoo,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“Machine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learning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and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deep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learning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techniques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for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IoT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intrusion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detection: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A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comprehensive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survey,”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IEEE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Internet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Things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Journal,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vol.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10,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no.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14,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pp.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12450–12468,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2023.</w:t>
      </w:r>
    </w:p>
    <w:p>
      <w:pPr>
        <w:autoSpaceDN w:val="0"/>
        <w:autoSpaceDE w:val="0"/>
        <w:widowControl/>
        <w:spacing w:line="180" w:lineRule="exact" w:before="0" w:after="0"/>
        <w:ind w:left="362" w:right="4800" w:hanging="278"/>
        <w:jc w:val="both"/>
      </w:pPr>
      <w:r>
        <w:rPr>
          <w:rFonts w:ascii="LMRoman8" w:hAnsi="LMRoman8" w:eastAsia="LMRoman8"/>
          <w:b w:val="0"/>
          <w:i w:val="0"/>
          <w:color w:val="000000"/>
          <w:sz w:val="16"/>
        </w:rPr>
        <w:t>[2]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Neto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al.,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“CICIoT2023: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real-time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dataset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for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pro-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filing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Internet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Things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attacks,”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Proc.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IEEE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International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Conference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Cyber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Security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and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Resilience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(CSR),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2023,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pp.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1–8.</w:t>
      </w:r>
    </w:p>
    <w:p>
      <w:pPr>
        <w:autoSpaceDN w:val="0"/>
        <w:autoSpaceDE w:val="0"/>
        <w:widowControl/>
        <w:spacing w:line="180" w:lineRule="exact" w:before="0" w:after="0"/>
        <w:ind w:left="362" w:right="4800" w:hanging="278"/>
        <w:jc w:val="both"/>
      </w:pPr>
      <w:r>
        <w:rPr>
          <w:rFonts w:ascii="LMRoman8" w:hAnsi="LMRoman8" w:eastAsia="LMRoman8"/>
          <w:b w:val="0"/>
          <w:i w:val="0"/>
          <w:color w:val="000000"/>
          <w:sz w:val="16"/>
        </w:rPr>
        <w:t>[3]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Ferrag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al.,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“Deep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learning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for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cyber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security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intrusion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detection: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Approaches,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datasets,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and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comparative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study,”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Jour-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nal of Information Security and Applications, vol. 64, p. 103041,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2022.</w:t>
      </w:r>
    </w:p>
    <w:p>
      <w:pPr>
        <w:autoSpaceDN w:val="0"/>
        <w:autoSpaceDE w:val="0"/>
        <w:widowControl/>
        <w:spacing w:line="180" w:lineRule="exact" w:before="0" w:after="0"/>
        <w:ind w:left="0" w:right="4800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[4]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V.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Chawla,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W.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Bowyer,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Hall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W.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Kegelmeyer,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“SMOTE: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Synthetic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minority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over-sampling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technique,”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Jour-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nal of Artificial Intelligence Research, vol. 16, pp. 321–357, 2002.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[5]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H.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Han,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W.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Wang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B.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H.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Zhou,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“Borderline-SMOTE: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A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new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over-sampling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method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imbalanced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data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sets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learning,”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Proc.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International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Conference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Intelligent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Computing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(ICIC),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2005,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pp.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878–887.</w:t>
      </w:r>
    </w:p>
    <w:sectPr w:rsidR="00FC693F" w:rsidRPr="0006063C" w:rsidSect="00034616">
      <w:pgSz w:w="12240" w:h="15840"/>
      <w:pgMar w:top="510" w:right="1440" w:bottom="1440" w:left="9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