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06"/>
        <w:ind w:left="0" w:right="0"/>
      </w:pPr>
    </w:p>
    <w:p>
      <w:pPr>
        <w:autoSpaceDN w:val="0"/>
        <w:autoSpaceDE w:val="0"/>
        <w:widowControl/>
        <w:spacing w:line="478" w:lineRule="exact" w:before="0" w:after="0"/>
        <w:ind w:left="0" w:right="0" w:firstLine="0"/>
        <w:jc w:val="center"/>
      </w:pPr>
      <w:r>
        <w:rPr>
          <w:rFonts w:ascii="LMRoman17" w:hAnsi="LMRoman17" w:eastAsia="LMRoman17"/>
          <w:b w:val="0"/>
          <w:i w:val="0"/>
          <w:color w:val="000000"/>
          <w:sz w:val="48"/>
        </w:rPr>
        <w:t>Detección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de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Ataques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Minoritarios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en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Redes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IoT</w:t>
      </w:r>
    </w:p>
    <w:p>
      <w:pPr>
        <w:autoSpaceDN w:val="0"/>
        <w:autoSpaceDE w:val="0"/>
        <w:widowControl/>
        <w:spacing w:line="478" w:lineRule="exact" w:before="80" w:after="0"/>
        <w:ind w:left="0" w:right="0" w:firstLine="0"/>
        <w:jc w:val="center"/>
      </w:pPr>
      <w:r>
        <w:rPr>
          <w:rFonts w:ascii="LMRoman17" w:hAnsi="LMRoman17" w:eastAsia="LMRoman17"/>
          <w:b w:val="0"/>
          <w:i w:val="0"/>
          <w:color w:val="000000"/>
          <w:sz w:val="48"/>
        </w:rPr>
        <w:t>mediante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un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Modelo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Híbrido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basado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en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Stacking,</w:t>
      </w:r>
    </w:p>
    <w:p>
      <w:pPr>
        <w:autoSpaceDN w:val="0"/>
        <w:autoSpaceDE w:val="0"/>
        <w:widowControl/>
        <w:spacing w:line="478" w:lineRule="exact" w:before="80" w:after="0"/>
        <w:ind w:left="0" w:right="0" w:firstLine="0"/>
        <w:jc w:val="center"/>
      </w:pPr>
      <w:r>
        <w:rPr>
          <w:rFonts w:ascii="LMRoman17" w:hAnsi="LMRoman17" w:eastAsia="LMRoman17"/>
          <w:b w:val="0"/>
          <w:i w:val="0"/>
          <w:color w:val="000000"/>
          <w:sz w:val="48"/>
        </w:rPr>
        <w:t>XGBoost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y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LightGBM,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Puno</w:t>
      </w:r>
      <w:r>
        <w:rPr>
          <w:rFonts w:ascii="LMRoman17" w:hAnsi="LMRoman17" w:eastAsia="LMRoman17"/>
          <w:b w:val="0"/>
          <w:i w:val="0"/>
          <w:color w:val="000000"/>
          <w:sz w:val="48"/>
        </w:rPr>
        <w:t>2026</w:t>
      </w:r>
    </w:p>
    <w:p>
      <w:pPr>
        <w:autoSpaceDN w:val="0"/>
        <w:autoSpaceDE w:val="0"/>
        <w:widowControl/>
        <w:spacing w:line="236" w:lineRule="exact" w:before="340" w:after="454"/>
        <w:ind w:left="3024" w:right="3168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2"/>
        </w:rPr>
        <w:t>Carmen</w:t>
      </w:r>
      <w:r>
        <w:rPr>
          <w:rFonts w:ascii="LMRoman12" w:hAnsi="LMRoman12" w:eastAsia="LMRoman12"/>
          <w:b w:val="0"/>
          <w:i w:val="0"/>
          <w:color w:val="000000"/>
          <w:sz w:val="22"/>
        </w:rPr>
        <w:t>Nieves</w:t>
      </w:r>
      <w:r>
        <w:rPr>
          <w:rFonts w:ascii="LMRoman12" w:hAnsi="LMRoman12" w:eastAsia="LMRoman12"/>
          <w:b w:val="0"/>
          <w:i w:val="0"/>
          <w:color w:val="000000"/>
          <w:sz w:val="22"/>
        </w:rPr>
        <w:t xml:space="preserve">Apaza-Condori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Escuela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Profesional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Ingeniería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Sistemas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Universidad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Nacional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Altiplano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Puno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Puno,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Perú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carmen.apaza@unap.edu.pe</w:t>
      </w:r>
    </w:p>
    <w:p>
      <w:pPr>
        <w:sectPr>
          <w:pgSz w:w="12240" w:h="15840"/>
          <w:pgMar w:top="528" w:right="960" w:bottom="736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8" w:lineRule="exact" w:before="0" w:after="0"/>
        <w:ind w:left="0" w:right="120" w:firstLine="198"/>
        <w:jc w:val="both"/>
      </w:pPr>
      <w:r>
        <w:rPr>
          <w:rFonts w:ascii="LMRoman9" w:hAnsi="LMRoman9" w:eastAsia="LMRoman9"/>
          <w:b w:val="0"/>
          <w:i w:val="0"/>
          <w:color w:val="000000"/>
          <w:sz w:val="18"/>
        </w:rPr>
        <w:t>Resumen—El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vertiginoso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despliegue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infraestructuras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del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Internet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Cosas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(IoT)</w:t>
      </w:r>
      <w:r>
        <w:rPr>
          <w:rFonts w:ascii="LMRoman9" w:hAnsi="LMRoman9" w:eastAsia="LMRoman9"/>
          <w:b w:val="0"/>
          <w:i w:val="0"/>
          <w:color w:val="000000"/>
          <w:sz w:val="18"/>
        </w:rPr>
        <w:t>ha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expuesto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organizaciones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pequeñas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empresas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ciberataques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alta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complejidad.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embargo,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Sistemas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Detección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Intrusiones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(IDS)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convencionales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enfrentan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severa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degradación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predictiva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debido al desbalance extremo de clases, donde los ataques volu-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métricos masivos (DDoS/DoS) ocultan intrusiones minoritarias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infrecuentes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pero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altamente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destructivas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(Web-based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Brute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Force).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Este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artículo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presenta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arquitectura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híbrida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cla-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sificación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basada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ensamble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por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Stacking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niveles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que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integra Random Forest, XGBoost GPU y LightGBM en el Nivel 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0, reforzados con cuantificación de incertidumbre probabilística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mediante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Entropía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Shannon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sobremuestreo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adaptativo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frontera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través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Borderline-SMOTE1,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evaluado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sobre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benchmark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estandarizado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CICIoT2023</w:t>
      </w:r>
      <w:r>
        <w:rPr>
          <w:rFonts w:ascii="LMRoman9" w:hAnsi="LMRoman9" w:eastAsia="LMRoman9"/>
          <w:b w:val="0"/>
          <w:i w:val="0"/>
          <w:color w:val="000000"/>
          <w:sz w:val="18"/>
        </w:rPr>
        <w:t>(</w:t>
      </w:r>
      <w:r>
        <w:rPr>
          <w:rFonts w:ascii="CMR9" w:hAnsi="CMR9" w:eastAsia="CMR9"/>
          <w:b w:val="0"/>
          <w:i w:val="0"/>
          <w:color w:val="000000"/>
          <w:sz w:val="18"/>
        </w:rPr>
        <w:t>2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515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889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flujos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depurados).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resultados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empíricos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partición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de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prueba aislada (</w:t>
      </w:r>
      <w:r>
        <w:rPr>
          <w:rFonts w:ascii="CMMI9" w:hAnsi="CMMI9" w:eastAsia="CMMI9"/>
          <w:b w:val="0"/>
          <w:i/>
          <w:color w:val="000000"/>
          <w:sz w:val="18"/>
        </w:rPr>
        <w:t>N</w:t>
      </w:r>
      <w:r>
        <w:rPr>
          <w:rFonts w:ascii="CMR6" w:hAnsi="CMR6" w:eastAsia="CMR6"/>
          <w:b w:val="0"/>
          <w:i w:val="0"/>
          <w:color w:val="000000"/>
          <w:sz w:val="12"/>
        </w:rPr>
        <w:t>test</w:t>
      </w:r>
      <w:r>
        <w:rPr>
          <w:rFonts w:ascii="CMR9" w:hAnsi="CMR9" w:eastAsia="CMR9"/>
          <w:b w:val="0"/>
          <w:i w:val="0"/>
          <w:color w:val="000000"/>
          <w:sz w:val="18"/>
        </w:rPr>
        <w:t>= 377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383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) demostraron que la propuesta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alcanza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F1-Macro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70.18 %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exactitud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global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(Accuracy)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84.85 %,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superando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significativamente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los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clasificadores base e individuales. Asimismo, la recuperación de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las clases minoritarias registró un F1-Score del 41.40 % en Brute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Force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33.86 %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Web-based.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el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perfilado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computacional,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el modelo demostró una latencia de inferencia de apenas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8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65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µs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por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flujo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y</w:t>
      </w:r>
      <w:r>
        <w:rPr>
          <w:rFonts w:ascii="LMRoman9" w:hAnsi="LMRoman9" w:eastAsia="LMRoman9"/>
          <w:b w:val="0"/>
          <w:i w:val="0"/>
          <w:color w:val="000000"/>
          <w:sz w:val="18"/>
        </w:rPr>
        <w:t>un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consumo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memoria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RAM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CMR9" w:hAnsi="CMR9" w:eastAsia="CMR9"/>
          <w:b w:val="0"/>
          <w:i w:val="0"/>
          <w:color w:val="000000"/>
          <w:sz w:val="18"/>
        </w:rPr>
        <w:t>257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89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MB,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validando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su</w:t>
      </w:r>
      <w:r>
        <w:rPr>
          <w:rFonts w:ascii="LMRoman9" w:hAnsi="LMRoman9" w:eastAsia="LMRoman9"/>
          <w:b w:val="0"/>
          <w:i w:val="0"/>
          <w:color w:val="000000"/>
          <w:sz w:val="18"/>
        </w:rPr>
        <w:t>viabilidad</w:t>
      </w:r>
      <w:r>
        <w:rPr>
          <w:rFonts w:ascii="LMRoman9" w:hAnsi="LMRoman9" w:eastAsia="LMRoman9"/>
          <w:b w:val="0"/>
          <w:i w:val="0"/>
          <w:color w:val="000000"/>
          <w:sz w:val="18"/>
        </w:rPr>
        <w:t>operativa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para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pasarelas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borde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IoT.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superioridad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estadística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fue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confirmada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mediante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Prueba 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 Rangos con Signo de Wilcoxon (</w:t>
      </w:r>
      <w:r>
        <w:rPr>
          <w:rFonts w:ascii="CMMI9" w:hAnsi="CMMI9" w:eastAsia="CMMI9"/>
          <w:b w:val="0"/>
          <w:i/>
          <w:color w:val="000000"/>
          <w:sz w:val="18"/>
        </w:rPr>
        <w:t>W</w:t>
      </w:r>
      <w:r>
        <w:rPr>
          <w:rFonts w:ascii="CMR6" w:hAnsi="CMR6" w:eastAsia="CMR6"/>
          <w:b w:val="0"/>
          <w:i w:val="0"/>
          <w:color w:val="000000"/>
          <w:sz w:val="12"/>
        </w:rPr>
        <w:t>+</w:t>
      </w:r>
      <w:r>
        <w:rPr>
          <w:rFonts w:ascii="CMR9" w:hAnsi="CMR9" w:eastAsia="CMR9"/>
          <w:b w:val="0"/>
          <w:i w:val="0"/>
          <w:color w:val="000000"/>
          <w:sz w:val="18"/>
        </w:rPr>
        <w:t>= 95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0</w:t>
      </w:r>
      <w:r>
        <w:rPr>
          <w:rFonts w:ascii="CMMI9" w:hAnsi="CMMI9" w:eastAsia="CMMI9"/>
          <w:b w:val="0"/>
          <w:i/>
          <w:color w:val="000000"/>
          <w:sz w:val="18"/>
        </w:rPr>
        <w:t>, p</w:t>
      </w:r>
      <w:r>
        <w:rPr>
          <w:rFonts w:ascii="CMR9" w:hAnsi="CMR9" w:eastAsia="CMR9"/>
          <w:b w:val="0"/>
          <w:i w:val="0"/>
          <w:color w:val="000000"/>
          <w:sz w:val="18"/>
        </w:rPr>
        <w:t xml:space="preserve"> = 0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003744</w:t>
      </w:r>
      <w:r>
        <w:rPr>
          <w:rFonts w:ascii="CMMI9" w:hAnsi="CMMI9" w:eastAsia="CMMI9"/>
          <w:b w:val="0"/>
          <w:i/>
          <w:color w:val="000000"/>
          <w:sz w:val="18"/>
        </w:rPr>
        <w:t xml:space="preserve"> &lt; </w:t>
      </w:r>
      <w:r>
        <w:rPr>
          <w:rFonts w:ascii="CMR9" w:hAnsi="CMR9" w:eastAsia="CMR9"/>
          <w:b w:val="0"/>
          <w:i w:val="0"/>
          <w:color w:val="000000"/>
          <w:sz w:val="18"/>
        </w:rPr>
        <w:t>0</w:t>
      </w:r>
      <w:r>
        <w:rPr>
          <w:rFonts w:ascii="CMMI9" w:hAnsi="CMMI9" w:eastAsia="CMMI9"/>
          <w:b w:val="0"/>
          <w:i/>
          <w:color w:val="000000"/>
          <w:sz w:val="18"/>
        </w:rPr>
        <w:t>,</w:t>
      </w:r>
      <w:r>
        <w:rPr>
          <w:rFonts w:ascii="CMR9" w:hAnsi="CMR9" w:eastAsia="CMR9"/>
          <w:b w:val="0"/>
          <w:i w:val="0"/>
          <w:color w:val="000000"/>
          <w:sz w:val="18"/>
        </w:rPr>
        <w:t>05</w:t>
      </w:r>
      <w:r>
        <w:rPr>
          <w:rFonts w:ascii="LMRoman9" w:hAnsi="LMRoman9" w:eastAsia="LMRoman9"/>
          <w:b w:val="0"/>
          <w:i w:val="0"/>
          <w:color w:val="000000"/>
          <w:sz w:val="18"/>
        </w:rPr>
        <w:t>).</w:t>
      </w:r>
    </w:p>
    <w:p>
      <w:pPr>
        <w:autoSpaceDN w:val="0"/>
        <w:autoSpaceDE w:val="0"/>
        <w:widowControl/>
        <w:spacing w:line="200" w:lineRule="exact" w:before="8" w:after="0"/>
        <w:ind w:left="0" w:right="0" w:firstLine="198"/>
        <w:jc w:val="left"/>
      </w:pPr>
      <w:r>
        <w:rPr>
          <w:rFonts w:ascii="LMRoman9" w:hAnsi="LMRoman9" w:eastAsia="LMRoman9"/>
          <w:b w:val="0"/>
          <w:i w:val="0"/>
          <w:color w:val="000000"/>
          <w:sz w:val="18"/>
        </w:rPr>
        <w:t>Index</w:t>
      </w:r>
      <w:r>
        <w:rPr>
          <w:rFonts w:ascii="LMRoman9" w:hAnsi="LMRoman9" w:eastAsia="LMRoman9"/>
          <w:b w:val="0"/>
          <w:i w:val="0"/>
          <w:color w:val="000000"/>
          <w:sz w:val="18"/>
        </w:rPr>
        <w:t>Terms—Internet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las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Cosas,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Ciberseguridad,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Siste-</w:t>
      </w:r>
      <w:r>
        <w:rPr>
          <w:rFonts w:ascii="LMRoman9" w:hAnsi="LMRoman9" w:eastAsia="LMRoman9"/>
          <w:b w:val="0"/>
          <w:i w:val="0"/>
          <w:color w:val="000000"/>
          <w:sz w:val="18"/>
        </w:rPr>
        <w:t>ma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Detección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  <w:r>
        <w:rPr>
          <w:rFonts w:ascii="LMRoman9" w:hAnsi="LMRoman9" w:eastAsia="LMRoman9"/>
          <w:b w:val="0"/>
          <w:i w:val="0"/>
          <w:color w:val="000000"/>
          <w:sz w:val="18"/>
        </w:rPr>
        <w:t>Intrusiones,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Stacking</w:t>
      </w:r>
      <w:r>
        <w:rPr>
          <w:rFonts w:ascii="LMRoman9" w:hAnsi="LMRoman9" w:eastAsia="LMRoman9"/>
          <w:b w:val="0"/>
          <w:i w:val="0"/>
          <w:color w:val="000000"/>
          <w:sz w:val="18"/>
        </w:rPr>
        <w:t>Híbrido,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Entropía</w:t>
      </w:r>
      <w:r>
        <w:rPr>
          <w:rFonts w:ascii="LMRoman9" w:hAnsi="LMRoman9" w:eastAsia="LMRoman9"/>
          <w:b w:val="0"/>
          <w:i w:val="0"/>
          <w:color w:val="000000"/>
          <w:sz w:val="18"/>
        </w:rPr>
        <w:t>de</w:t>
      </w:r>
    </w:p>
    <w:p>
      <w:pPr>
        <w:sectPr>
          <w:type w:val="continuous"/>
          <w:pgSz w:w="12240" w:h="15840"/>
          <w:pgMar w:top="528" w:right="960" w:bottom="736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34" w:lineRule="exact" w:before="0" w:after="0"/>
        <w:ind w:left="120" w:right="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CICIoT2023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[2],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más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95 %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muestras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corres-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ponden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tráfico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legítimo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volumétricos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masivos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(DDoS/DoS).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marcada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asimetría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denomi-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nada Paradoja de la Exactitud (Accuracy Paradox), donde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clasificador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obtiene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métricas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globales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deceptivamente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elevadas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&gt;</w:t>
      </w:r>
      <w:r>
        <w:rPr>
          <w:rFonts w:ascii="CMR10" w:hAnsi="CMR10" w:eastAsia="CMR10"/>
          <w:b w:val="0"/>
          <w:i w:val="0"/>
          <w:color w:val="000000"/>
          <w:sz w:val="20"/>
        </w:rPr>
        <w:t>84 %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ignorando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completo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R10" w:hAnsi="CMR10" w:eastAsia="CMR10"/>
          <w:b w:val="0"/>
          <w:i w:val="0"/>
          <w:color w:val="000000"/>
          <w:sz w:val="20"/>
        </w:rPr>
        <w:t>Recall</w:t>
      </w:r>
      <w:r>
        <w:rPr>
          <w:rFonts w:ascii="CMSY10" w:hAnsi="CMSY10" w:eastAsia="CMSY10"/>
          <w:b w:val="0"/>
          <w:i/>
          <w:color w:val="000000"/>
          <w:sz w:val="20"/>
        </w:rPr>
        <w:t>→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)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intrusiones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infrecuentes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minoritarias,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tales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como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Web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(Web-based)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Fuerza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Bruta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(Brute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Force)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[3].</w:t>
      </w:r>
    </w:p>
    <w:p>
      <w:pPr>
        <w:autoSpaceDN w:val="0"/>
        <w:autoSpaceDE w:val="0"/>
        <w:widowControl/>
        <w:spacing w:line="240" w:lineRule="exact" w:before="0" w:after="0"/>
        <w:ind w:left="120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resolver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problemática,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presente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trabajo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propone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evalúa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entorno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laboratorio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clasificación híbrido basado en la arquitectura de ensamble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niveles.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contribución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principal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radica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integración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componentes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clave:</w:t>
      </w:r>
    </w:p>
    <w:p>
      <w:pPr>
        <w:autoSpaceDN w:val="0"/>
        <w:autoSpaceDE w:val="0"/>
        <w:widowControl/>
        <w:spacing w:line="240" w:lineRule="exact" w:before="40" w:after="0"/>
        <w:ind w:left="616" w:right="20" w:hanging="276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1.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Sobremuestreo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Adaptativo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Frontera: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Aplica-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algoritmo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Borderline-SMOTE1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focalizado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exclusivamente 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peligro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S</w:t>
      </w:r>
      <w:r>
        <w:rPr>
          <w:rFonts w:ascii="CMR7" w:hAnsi="CMR7" w:eastAsia="CMR7"/>
          <w:b w:val="0"/>
          <w:i w:val="0"/>
          <w:color w:val="000000"/>
          <w:sz w:val="14"/>
        </w:rPr>
        <w:t>danger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evi-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tando la sobregeneración de datos sintéticos ruidosos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zonas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seguras.</w:t>
      </w:r>
    </w:p>
    <w:p>
      <w:pPr>
        <w:autoSpaceDN w:val="0"/>
        <w:autoSpaceDE w:val="0"/>
        <w:widowControl/>
        <w:spacing w:line="240" w:lineRule="exact" w:before="0" w:after="28"/>
        <w:ind w:left="616" w:right="20" w:hanging="276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2.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Meta-Características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Entrópicas: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Incorporación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Entropía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Shannon</w:t>
      </w:r>
      <w:r>
        <w:rPr>
          <w:rFonts w:ascii="CMMI10" w:hAnsi="CMMI10" w:eastAsia="CMMI10"/>
          <w:b w:val="0"/>
          <w:i/>
          <w:color w:val="000000"/>
          <w:sz w:val="20"/>
        </w:rPr>
        <w:t>H</w:t>
      </w:r>
      <w:r>
        <w:rPr>
          <w:rFonts w:ascii="CMR10" w:hAnsi="CMR10" w:eastAsia="CMR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x</w:t>
      </w:r>
      <w:r>
        <w:rPr>
          <w:rFonts w:ascii="CMR10" w:hAnsi="CMR10" w:eastAsia="CMR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distribucio-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probabilidad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0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(Random Forest, XGBoost GPU y LightGBM Base),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capturando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incertidumbre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como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señal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discriminante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meta-modelo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LightGBM</w:t>
      </w:r>
    </w:p>
    <w:p>
      <w:pPr>
        <w:sectPr>
          <w:type w:val="nextColumn"/>
          <w:pgSz w:w="12240" w:h="15840"/>
          <w:pgMar w:top="528" w:right="960" w:bottom="736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tabs>
          <w:tab w:pos="5756" w:val="left"/>
        </w:tabs>
        <w:autoSpaceDE w:val="0"/>
        <w:widowControl/>
        <w:spacing w:line="180" w:lineRule="exact" w:before="0" w:after="0"/>
        <w:ind w:left="0" w:right="0" w:firstLine="0"/>
        <w:jc w:val="left"/>
      </w:pPr>
      <w:r>
        <w:rPr>
          <w:rFonts w:ascii="LMRoman9" w:hAnsi="LMRoman9" w:eastAsia="LMRoman9"/>
          <w:b w:val="0"/>
          <w:i w:val="0"/>
          <w:color w:val="000000"/>
          <w:sz w:val="18"/>
        </w:rPr>
        <w:t>Shannon,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Borderline-SMOTE,</w:t>
      </w:r>
      <w:r>
        <w:rPr>
          <w:rFonts w:ascii="LMRoman9" w:hAnsi="LMRoman9" w:eastAsia="LMRoman9"/>
          <w:b w:val="0"/>
          <w:i w:val="0"/>
          <w:color w:val="000000"/>
          <w:sz w:val="18"/>
        </w:rPr>
        <w:t>Ataques</w:t>
      </w:r>
      <w:r>
        <w:rPr>
          <w:rFonts w:ascii="LMRoman9" w:hAnsi="LMRoman9" w:eastAsia="LMRoman9"/>
          <w:b w:val="0"/>
          <w:i w:val="0"/>
          <w:color w:val="000000"/>
          <w:sz w:val="18"/>
        </w:rPr>
        <w:t xml:space="preserve">Minoritarios.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1.</w:t>
      </w:r>
    </w:p>
    <w:p>
      <w:pPr>
        <w:autoSpaceDN w:val="0"/>
        <w:autoSpaceDE w:val="0"/>
        <w:widowControl/>
        <w:spacing w:line="200" w:lineRule="exact" w:before="40" w:after="20"/>
        <w:ind w:left="0" w:right="2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3.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Viabilidad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Pasarelas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Borde: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Perfilado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estricto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0.0" w:type="dxa"/>
      </w:tblPr>
      <w:tblGrid>
        <w:gridCol w:w="3433"/>
        <w:gridCol w:w="3433"/>
        <w:gridCol w:w="3433"/>
      </w:tblGrid>
      <w:tr>
        <w:trPr>
          <w:trHeight w:hRule="exact" w:val="236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0" w:right="9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I.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1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Introducción</w:t>
            </w:r>
          </w:p>
        </w:tc>
        <w:tc>
          <w:tcPr>
            <w:tcW w:type="dxa" w:w="5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127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latencia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inferencia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ocupación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memoria</w:t>
            </w:r>
          </w:p>
        </w:tc>
      </w:tr>
    </w:tbl>
    <w:p>
      <w:pPr>
        <w:autoSpaceDN w:val="0"/>
        <w:autoSpaceDE w:val="0"/>
        <w:widowControl/>
        <w:spacing w:line="14" w:lineRule="exact" w:before="0" w:after="186"/>
        <w:ind w:left="0" w:right="0"/>
      </w:pPr>
    </w:p>
    <w:p>
      <w:pPr>
        <w:sectPr>
          <w:type w:val="continuous"/>
          <w:pgSz w:w="12240" w:h="15840"/>
          <w:pgMar w:top="528" w:right="960" w:bottom="736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4" w:lineRule="exact" w:before="0" w:after="0"/>
        <w:ind w:left="0" w:right="118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paradigma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Internet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Cosas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(IoT)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trans-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formado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arquitectura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tecnológica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global,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interconectan-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do millones de nodos sensores y pasarelas computacionales.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obstante,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rápida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proliferación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micro,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pequeñas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medianas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empresas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(MYPEs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PYMEs)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expandido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exponencialmente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superficie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exponiendo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las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redes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vectores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intrusión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heterogéneos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[1].</w:t>
      </w:r>
    </w:p>
    <w:p>
      <w:pPr>
        <w:sectPr>
          <w:type w:val="continuous"/>
          <w:pgSz w:w="12240" w:h="15840"/>
          <w:pgMar w:top="528" w:right="960" w:bottom="736" w:left="980" w:header="720" w:footer="720" w:gutter="0"/>
          <w:cols w:num="2" w:equalWidth="0">
            <w:col w:w="5142" w:space="0"/>
            <w:col w:w="5158" w:space="0"/>
          </w:cols>
          <w:docGrid w:linePitch="360"/>
        </w:sectPr>
      </w:pPr>
    </w:p>
    <w:p>
      <w:pPr>
        <w:autoSpaceDN w:val="0"/>
        <w:autoSpaceDE w:val="0"/>
        <w:widowControl/>
        <w:spacing w:line="226" w:lineRule="exact" w:before="0" w:after="0"/>
        <w:ind w:left="614" w:right="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RAM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garantizar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operabilidad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hardware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limitado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(Raspberry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Pi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/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Jetson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Nano)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formato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ONNX.</w:t>
      </w:r>
    </w:p>
    <w:p>
      <w:pPr>
        <w:autoSpaceDN w:val="0"/>
        <w:tabs>
          <w:tab w:pos="1924" w:val="left"/>
        </w:tabs>
        <w:autoSpaceDE w:val="0"/>
        <w:widowControl/>
        <w:spacing w:line="198" w:lineRule="exact" w:before="174" w:after="0"/>
        <w:ind w:left="152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II.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Trabajo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Relacionado</w:t>
      </w:r>
    </w:p>
    <w:p>
      <w:pPr>
        <w:autoSpaceDN w:val="0"/>
        <w:autoSpaceDE w:val="0"/>
        <w:widowControl/>
        <w:spacing w:line="240" w:lineRule="exact" w:before="64" w:after="40"/>
        <w:ind w:left="118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literatura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reciente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NIDS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centrado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arquitecturas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Deep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Learning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(CNN,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LSTM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Auto-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encoders)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clasificadores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ensamble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árboles</w:t>
      </w:r>
    </w:p>
    <w:p>
      <w:pPr>
        <w:sectPr>
          <w:type w:val="nextColumn"/>
          <w:pgSz w:w="12240" w:h="15840"/>
          <w:pgMar w:top="528" w:right="960" w:bottom="736" w:left="980" w:header="720" w:footer="720" w:gutter="0"/>
          <w:cols w:num="2" w:equalWidth="0">
            <w:col w:w="5142" w:space="0"/>
            <w:col w:w="5158" w:space="0"/>
          </w:cols>
          <w:docGrid w:linePitch="360"/>
        </w:sectPr>
      </w:pPr>
    </w:p>
    <w:p>
      <w:pPr>
        <w:autoSpaceDN w:val="0"/>
        <w:tabs>
          <w:tab w:pos="5260" w:val="left"/>
        </w:tabs>
        <w:autoSpaceDE w:val="0"/>
        <w:widowControl/>
        <w:spacing w:line="198" w:lineRule="exact" w:before="0" w:after="40"/>
        <w:ind w:left="19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 pesar de los avances en Machine Learning aplicados a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decisión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[1],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[3].</w:t>
      </w:r>
    </w:p>
    <w:p>
      <w:pPr>
        <w:sectPr>
          <w:type w:val="continuous"/>
          <w:pgSz w:w="12240" w:h="15840"/>
          <w:pgMar w:top="528" w:right="960" w:bottom="736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0" w:right="1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la ciberseguridad, los Sistemas de Detección de Intrusiones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Redes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(NIDS)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convencionales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enfrentan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desafío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crítico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desbalance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extremo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clases.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conjuntos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representativos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tráfico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moderno,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</w:p>
    <w:p>
      <w:pPr>
        <w:sectPr>
          <w:type w:val="continuous"/>
          <w:pgSz w:w="12240" w:h="15840"/>
          <w:pgMar w:top="528" w:right="960" w:bottom="736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120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Sahoo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[1]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evaluaron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Deep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Neural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Networks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(DNN)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BoT-IoT,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reportando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exactitudes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superiores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98 %;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embargo,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dichos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sufrieron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severa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degradación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</w:p>
    <w:p>
      <w:pPr>
        <w:sectPr>
          <w:type w:val="nextColumn"/>
          <w:pgSz w:w="12240" w:h="15840"/>
          <w:pgMar w:top="528" w:right="960" w:bottom="736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sectPr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latencia de inferencia (</w:t>
      </w:r>
      <w:r>
        <w:rPr>
          <w:rFonts w:ascii="CMMI10" w:hAnsi="CMMI10" w:eastAsia="CMMI10"/>
          <w:b w:val="0"/>
          <w:i/>
          <w:color w:val="000000"/>
          <w:sz w:val="20"/>
        </w:rPr>
        <w:t>&gt;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100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 µs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) y requerimientos térmicos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inasumibles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pasarelas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borde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dedicada.</w:t>
      </w:r>
    </w:p>
    <w:p>
      <w:pPr>
        <w:autoSpaceDN w:val="0"/>
        <w:autoSpaceDE w:val="0"/>
        <w:widowControl/>
        <w:spacing w:line="238" w:lineRule="exact" w:before="2" w:after="0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otro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lado,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Neto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[2]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presentaron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benchmark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CICIoT2023,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demostrando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algoritmos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XGBoost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y Random Forest superan a las redes neuronales densas en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velocidad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precisión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global.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embargo,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análisis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no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abordó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rebalanceo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minoritarias,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registrando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F1-Scores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inferiores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5 %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categorías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Web-based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Brute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Force.</w:t>
      </w:r>
    </w:p>
    <w:p>
      <w:pPr>
        <w:autoSpaceDN w:val="0"/>
        <w:autoSpaceDE w:val="0"/>
        <w:widowControl/>
        <w:spacing w:line="238" w:lineRule="exact" w:before="4" w:after="0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ámbito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rebalanceo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sintético,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Chawla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al.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[4]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[5]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demostraron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Borderline-SMOTE1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SMOTE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convencional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concentrar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síntesis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instancias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espacio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frontera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clases.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187700" cy="1860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86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90"/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33"/>
        <w:gridCol w:w="3433"/>
        <w:gridCol w:w="3433"/>
      </w:tblGrid>
      <w:tr>
        <w:trPr>
          <w:trHeight w:hRule="exact" w:val="180"/>
        </w:trPr>
        <w:tc>
          <w:tcPr>
            <w:tcW w:type="dxa" w:w="5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presente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investigación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extiende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principio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acoplándolo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0" w:right="0" w:firstLine="0"/>
              <w:jc w:val="center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Figura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1.</w:t>
            </w:r>
          </w:p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10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Importancia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relativa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29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características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red</w:t>
            </w:r>
          </w:p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meta-características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entrópicas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esquema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heterogéneo.</w:t>
      </w:r>
    </w:p>
    <w:p>
      <w:pPr>
        <w:autoSpaceDN w:val="0"/>
        <w:tabs>
          <w:tab w:pos="1736" w:val="left"/>
        </w:tabs>
        <w:autoSpaceDE w:val="0"/>
        <w:widowControl/>
        <w:spacing w:line="200" w:lineRule="exact" w:before="188" w:after="0"/>
        <w:ind w:left="125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III.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Metodología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Propuesta</w:t>
      </w:r>
    </w:p>
    <w:p>
      <w:pPr>
        <w:autoSpaceDN w:val="0"/>
        <w:tabs>
          <w:tab w:pos="696" w:val="left"/>
        </w:tabs>
        <w:autoSpaceDE w:val="0"/>
        <w:widowControl/>
        <w:spacing w:line="198" w:lineRule="exact" w:before="114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III-A.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Objeto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Estudio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Conjunto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Datos</w:t>
      </w:r>
    </w:p>
    <w:p>
      <w:pPr>
        <w:autoSpaceDN w:val="0"/>
        <w:autoSpaceDE w:val="0"/>
        <w:widowControl/>
        <w:spacing w:line="240" w:lineRule="exact" w:before="68" w:after="0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utilizó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dataset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estandarizado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internacional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CIoT2023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[2],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generado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entorno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físico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33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dispositivos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IoT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(cámaras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IP,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sensores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ambientales,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altavoces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inteligentes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concentradores).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procesaron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63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archivos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CSV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masivos,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consolidando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muestra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inicial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515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889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flujos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red.</w:t>
      </w:r>
    </w:p>
    <w:p>
      <w:pPr>
        <w:autoSpaceDN w:val="0"/>
        <w:tabs>
          <w:tab w:pos="688" w:val="left"/>
        </w:tabs>
        <w:autoSpaceDE w:val="0"/>
        <w:widowControl/>
        <w:spacing w:line="198" w:lineRule="exact" w:before="184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III-B.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Higiene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Preprocesamiento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Datos</w:t>
      </w:r>
    </w:p>
    <w:p>
      <w:pPr>
        <w:autoSpaceDN w:val="0"/>
        <w:autoSpaceDE w:val="0"/>
        <w:widowControl/>
        <w:spacing w:line="200" w:lineRule="exact" w:before="108" w:after="0"/>
        <w:ind w:left="19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flujo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preprocesamiento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incluyó:</w:t>
      </w:r>
    </w:p>
    <w:p>
      <w:pPr>
        <w:autoSpaceDN w:val="0"/>
        <w:autoSpaceDE w:val="0"/>
        <w:widowControl/>
        <w:spacing w:line="238" w:lineRule="exact" w:before="46" w:after="0"/>
        <w:ind w:left="4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Depuración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Registros: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Eliminación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valores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nulos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(NaN),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infinitos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(Inf)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duplicados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exactos,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158" w:lineRule="exact" w:before="0" w:after="0"/>
        <w:ind w:left="12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seleccionadas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mediante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reducción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impureza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Gini.</w:t>
      </w:r>
    </w:p>
    <w:p>
      <w:pPr>
        <w:autoSpaceDN w:val="0"/>
        <w:autoSpaceDE w:val="0"/>
        <w:widowControl/>
        <w:spacing w:line="240" w:lineRule="auto" w:before="272" w:after="0"/>
        <w:ind w:left="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187700" cy="1595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59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966" w:val="left"/>
        </w:tabs>
        <w:autoSpaceDE w:val="0"/>
        <w:widowControl/>
        <w:spacing w:line="158" w:lineRule="exact" w:before="230" w:after="0"/>
        <w:ind w:left="12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Figura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2. </w:t>
      </w:r>
      <w:r>
        <w:tab/>
      </w:r>
      <w:r>
        <w:rPr>
          <w:rFonts w:ascii="LMRoman8" w:hAnsi="LMRoman8" w:eastAsia="LMRoman8"/>
          <w:b w:val="0"/>
          <w:i w:val="0"/>
          <w:color w:val="000000"/>
          <w:sz w:val="16"/>
        </w:rPr>
        <w:t>Distribución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clases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minoritarias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antes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después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del</w:t>
      </w:r>
    </w:p>
    <w:p>
      <w:pPr>
        <w:autoSpaceDN w:val="0"/>
        <w:autoSpaceDE w:val="0"/>
        <w:widowControl/>
        <w:spacing w:line="184" w:lineRule="exact" w:before="20" w:after="0"/>
        <w:ind w:left="12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sobremuestreo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adaptativo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frontera</w:t>
      </w:r>
      <w:r>
        <w:rPr>
          <w:rFonts w:ascii="CMMI8" w:hAnsi="CMMI8" w:eastAsia="CMMI8"/>
          <w:b w:val="0"/>
          <w:i/>
          <w:color w:val="000000"/>
          <w:sz w:val="16"/>
        </w:rPr>
        <w:t>S</w:t>
      </w:r>
      <w:r>
        <w:rPr>
          <w:rFonts w:ascii="CMR6" w:hAnsi="CMR6" w:eastAsia="CMR6"/>
          <w:b w:val="0"/>
          <w:i w:val="0"/>
          <w:color w:val="000000"/>
          <w:sz w:val="12"/>
        </w:rPr>
        <w:t>danger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Borderline-</w:t>
      </w:r>
    </w:p>
    <w:p>
      <w:pPr>
        <w:autoSpaceDN w:val="0"/>
        <w:autoSpaceDE w:val="0"/>
        <w:widowControl/>
        <w:spacing w:line="160" w:lineRule="exact" w:before="0" w:after="228"/>
        <w:ind w:left="120" w:right="0" w:firstLine="0"/>
        <w:jc w:val="left"/>
      </w:pPr>
      <w:r>
        <w:rPr>
          <w:rFonts w:ascii="LMRoman8" w:hAnsi="LMRoman8" w:eastAsia="LMRoman8"/>
          <w:b w:val="0"/>
          <w:i w:val="0"/>
          <w:color w:val="000000"/>
          <w:sz w:val="16"/>
        </w:rPr>
        <w:t>SMOTE1.</w:t>
      </w:r>
    </w:p>
    <w:p>
      <w:pPr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390"/>
        </w:trPr>
        <w:tc>
          <w:tcPr>
            <w:tcW w:type="dxa" w:w="514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preservando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distribución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priori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clases.</w:t>
            </w:r>
          </w:p>
          <w:p>
            <w:pPr>
              <w:autoSpaceDN w:val="0"/>
              <w:autoSpaceDE w:val="0"/>
              <w:widowControl/>
              <w:spacing w:line="236" w:lineRule="exact" w:before="0" w:after="0"/>
              <w:ind w:left="422" w:right="120" w:firstLine="0"/>
              <w:jc w:val="both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Escalado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Robusto: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Normalización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RobustScaler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basada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Mediana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Rango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Intercuartílico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IQR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):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III-D.</w:t>
            </w:r>
          </w:p>
        </w:tc>
        <w:tc>
          <w:tcPr>
            <w:tcW w:type="dxa" w:w="442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Arquitectura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Stacking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Híbrida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Entropía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</w:p>
        </w:tc>
      </w:tr>
      <w:tr>
        <w:trPr>
          <w:trHeight w:hRule="exact" w:val="520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514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Shannon</w:t>
            </w:r>
          </w:p>
          <w:p>
            <w:pPr>
              <w:autoSpaceDN w:val="0"/>
              <w:tabs>
                <w:tab w:pos="318" w:val="left"/>
              </w:tabs>
              <w:autoSpaceDE w:val="0"/>
              <w:widowControl/>
              <w:spacing w:line="240" w:lineRule="exact" w:before="5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arquitectura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organiza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niveles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jerárquicos: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Nivel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(Modelos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Base):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entrenaron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forma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tratificada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validación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cruzada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fuera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pliegue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(OOF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3-Fold)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clasificadores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heterogéneos:</w:t>
            </w:r>
          </w:p>
          <w:p>
            <w:pPr>
              <w:autoSpaceDN w:val="0"/>
              <w:tabs>
                <w:tab w:pos="616" w:val="left"/>
              </w:tabs>
              <w:autoSpaceDE w:val="0"/>
              <w:widowControl/>
              <w:spacing w:line="240" w:lineRule="exact" w:before="2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Random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100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árboles,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max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_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depth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= </w:t>
            </w:r>
            <w:r>
              <w:tab/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).</w:t>
            </w:r>
          </w:p>
        </w:tc>
      </w:tr>
      <w:tr>
        <w:trPr>
          <w:trHeight w:hRule="exact" w:val="560"/>
        </w:trPr>
        <w:tc>
          <w:tcPr>
            <w:tcW w:type="dxa" w:w="39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0" w:right="37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Q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</w:t>
            </w:r>
          </w:p>
          <w:p>
            <w:pPr>
              <w:autoSpaceDN w:val="0"/>
              <w:autoSpaceDE w:val="0"/>
              <w:widowControl/>
              <w:spacing w:line="216" w:lineRule="exact" w:before="0" w:after="0"/>
              <w:ind w:left="0" w:right="556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IQR(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52" w:after="0"/>
              <w:ind w:left="0" w:right="1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(1)</w:t>
            </w:r>
          </w:p>
        </w:tc>
        <w:tc>
          <w:tcPr>
            <w:tcW w:type="dxa" w:w="6006"/>
            <w:gridSpan w:val="7"/>
            <w:vMerge/>
            <w:tcBorders/>
          </w:tcPr>
          <w:p/>
        </w:tc>
      </w:tr>
      <w:tr>
        <w:trPr>
          <w:trHeight w:hRule="exact" w:val="680"/>
        </w:trPr>
        <w:tc>
          <w:tcPr>
            <w:tcW w:type="dxa" w:w="514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8" w:after="0"/>
              <w:ind w:left="4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resistente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ráfagas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valores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atípicos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pasajeros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(outliers).</w:t>
            </w:r>
          </w:p>
          <w:p>
            <w:pPr>
              <w:autoSpaceDN w:val="0"/>
              <w:autoSpaceDE w:val="0"/>
              <w:widowControl/>
              <w:spacing w:line="240" w:lineRule="exact" w:before="0" w:after="0"/>
              <w:ind w:left="422" w:right="120" w:firstLine="0"/>
              <w:jc w:val="both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Selección de Características: Aplicación del criterio de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Reducción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Impureza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Gini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sobre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ensamble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preliminar,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seleccionando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29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variables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continuas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discriminantes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tráfico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(ver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Fig.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1).</w:t>
            </w:r>
          </w:p>
        </w:tc>
        <w:tc>
          <w:tcPr>
            <w:tcW w:type="dxa" w:w="6006"/>
            <w:gridSpan w:val="7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XGBoost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GPU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36" w:after="0"/>
              <w:ind w:left="19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tree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_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method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12" w:after="0"/>
              <w:ind w:left="132" w:right="0" w:firstLine="0"/>
              <w:jc w:val="left"/>
            </w:pP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hist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,</w:t>
            </w:r>
          </w:p>
        </w:tc>
      </w:tr>
      <w:tr>
        <w:trPr>
          <w:trHeight w:hRule="exact" w:val="260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514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24" w:after="0"/>
              <w:ind w:left="6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device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=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cuda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).</w:t>
            </w:r>
          </w:p>
        </w:tc>
      </w:tr>
      <w:tr>
        <w:trPr>
          <w:trHeight w:hRule="exact" w:val="260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LightGBM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Base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6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num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_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leaves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26" w:after="0"/>
              <w:ind w:left="0" w:right="0" w:firstLine="0"/>
              <w:jc w:val="righ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,</w:t>
            </w:r>
          </w:p>
        </w:tc>
      </w:tr>
      <w:tr>
        <w:trPr>
          <w:trHeight w:hRule="exact" w:val="138"/>
        </w:trPr>
        <w:tc>
          <w:tcPr>
            <w:tcW w:type="dxa" w:w="4290"/>
            <w:gridSpan w:val="5"/>
            <w:vMerge/>
            <w:tcBorders/>
          </w:tcPr>
          <w:p/>
        </w:tc>
        <w:tc>
          <w:tcPr>
            <w:tcW w:type="dxa" w:w="514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6" w:after="0"/>
              <w:ind w:left="61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learning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_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rate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= 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05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).</w:t>
            </w:r>
          </w:p>
          <w:p>
            <w:pPr>
              <w:autoSpaceDN w:val="0"/>
              <w:autoSpaceDE w:val="0"/>
              <w:widowControl/>
              <w:spacing w:line="260" w:lineRule="exact" w:before="12" w:after="0"/>
              <w:ind w:left="120" w:right="0" w:firstLine="198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modelo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emitió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vector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probabilidades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mul-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ticlase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0"/>
              </w:rPr>
              <w:t>R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8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partir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estas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distribuciones,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</w:p>
        </w:tc>
      </w:tr>
      <w:tr>
        <w:trPr>
          <w:trHeight w:hRule="exact" w:val="322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III-C.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Sobremuestreo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Adaptativo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1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Borderline-</w:t>
            </w:r>
          </w:p>
        </w:tc>
        <w:tc>
          <w:tcPr>
            <w:tcW w:type="dxa" w:w="6006"/>
            <w:gridSpan w:val="7"/>
            <w:vMerge/>
            <w:tcBorders/>
          </w:tcPr>
          <w:p/>
        </w:tc>
      </w:tr>
      <w:tr>
        <w:trPr>
          <w:trHeight w:hRule="exact" w:val="262"/>
        </w:trPr>
        <w:tc>
          <w:tcPr>
            <w:tcW w:type="dxa" w:w="51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2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SMOTE1</w:t>
            </w:r>
          </w:p>
        </w:tc>
        <w:tc>
          <w:tcPr>
            <w:tcW w:type="dxa" w:w="6006"/>
            <w:gridSpan w:val="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56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exact" w:before="0" w:after="0"/>
        <w:ind w:left="0" w:right="0" w:firstLine="198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mitigar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desbalance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extremo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R10" w:hAnsi="CMR10" w:eastAsia="CMR10"/>
          <w:b w:val="0"/>
          <w:i w:val="0"/>
          <w:color w:val="000000"/>
          <w:sz w:val="20"/>
        </w:rPr>
        <w:t>IR = 41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75 : 1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identificó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conjunto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instancias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minoritarias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peligro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exact" w:before="2" w:after="76"/>
        <w:ind w:left="12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calculó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Entropía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Shannon</w:t>
      </w:r>
      <w:r>
        <w:rPr>
          <w:rFonts w:ascii="CMMI10" w:hAnsi="CMMI10" w:eastAsia="CMMI10"/>
          <w:b w:val="0"/>
          <w:i/>
          <w:color w:val="000000"/>
          <w:sz w:val="20"/>
        </w:rPr>
        <w:t>H</w:t>
      </w:r>
      <w:r>
        <w:rPr>
          <w:rFonts w:ascii="CMMI7" w:hAnsi="CMMI7" w:eastAsia="CMMI7"/>
          <w:b w:val="0"/>
          <w:i/>
          <w:color w:val="000000"/>
          <w:sz w:val="14"/>
        </w:rPr>
        <w:t>m</w:t>
      </w:r>
      <w:r>
        <w:rPr>
          <w:rFonts w:ascii="CMR10" w:hAnsi="CMR10" w:eastAsia="CMR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x</w:t>
      </w:r>
      <w:r>
        <w:rPr>
          <w:rFonts w:ascii="CMR10" w:hAnsi="CMR10" w:eastAsia="CMR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medida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incertidumbre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clasificador:</w:t>
      </w:r>
    </w:p>
    <w:p>
      <w:pPr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rHeight w:hRule="exact" w:val="224"/>
        </w:trPr>
        <w:tc>
          <w:tcPr>
            <w:tcW w:type="dxa" w:w="514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20" w:firstLine="0"/>
              <w:jc w:val="both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danger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⊂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definidas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aquellas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cuyos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vecinos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más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cercanos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contienen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entre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k/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y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ejemplos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clase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mayoritaria.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generaron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muestras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sintéticas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largo</w:t>
            </w:r>
          </w:p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segmentos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recta:</w:t>
            </w:r>
          </w:p>
        </w:tc>
        <w:tc>
          <w:tcPr>
            <w:tcW w:type="dxa" w:w="514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" w:after="0"/>
              <w:ind w:left="0" w:right="3130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0"/>
              </w:rPr>
              <w:t>∑</w:t>
            </w:r>
          </w:p>
        </w:tc>
      </w:tr>
      <w:tr>
        <w:trPr>
          <w:trHeight w:hRule="exact" w:val="260"/>
        </w:trPr>
        <w:tc>
          <w:tcPr>
            <w:tcW w:type="dxa" w:w="2808"/>
            <w:gridSpan w:val="3"/>
            <w:vMerge/>
            <w:tcBorders/>
          </w:tcPr>
          <w:p/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0" w:right="170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H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 =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−</w:t>
            </w:r>
          </w:p>
        </w:tc>
        <w:tc>
          <w:tcPr>
            <w:tcW w:type="dxa" w:w="27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84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c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 log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c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|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(3)</w:t>
            </w:r>
          </w:p>
        </w:tc>
      </w:tr>
      <w:tr>
        <w:trPr>
          <w:trHeight w:hRule="exact" w:val="520"/>
        </w:trPr>
        <w:tc>
          <w:tcPr>
            <w:tcW w:type="dxa" w:w="2808"/>
            <w:gridSpan w:val="3"/>
            <w:vMerge/>
            <w:tcBorders/>
          </w:tcPr>
          <w:p/>
        </w:tc>
        <w:tc>
          <w:tcPr>
            <w:tcW w:type="dxa" w:w="5140"/>
            <w:gridSpan w:val="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8" w:val="left"/>
                <w:tab w:pos="1730" w:val="left"/>
              </w:tabs>
              <w:autoSpaceDE w:val="0"/>
              <w:widowControl/>
              <w:spacing w:line="244" w:lineRule="exact" w:before="0" w:after="0"/>
              <w:ind w:left="120" w:right="0" w:firstLine="0"/>
              <w:jc w:val="left"/>
            </w:pPr>
            <w:r>
              <w:tab/>
            </w:r>
            <w:r>
              <w:tab/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 xml:space="preserve">=1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Tensor de Meta-Características 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Z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0"/>
              </w:rPr>
              <w:t>R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27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): Se construyó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concatenando las 24 probabilidades proyectadas (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×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8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) con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entropías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calculadas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H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RF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 H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XGB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 H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LGB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).</w:t>
            </w:r>
          </w:p>
        </w:tc>
      </w:tr>
      <w:tr>
        <w:trPr>
          <w:trHeight w:hRule="exact" w:val="460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94" w:after="0"/>
              <w:ind w:left="0" w:right="114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R7" w:hAnsi="CMR7" w:eastAsia="CMR7"/>
                <w:b w:val="0"/>
                <w:i w:val="0"/>
                <w:color w:val="000000"/>
                <w:sz w:val="14"/>
              </w:rPr>
              <w:t>new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+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 δ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 xml:space="preserve"> ·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(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−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p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4" w:after="0"/>
              <w:ind w:left="118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δ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∼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U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(0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 1)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92" w:after="0"/>
              <w:ind w:left="0" w:right="1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(2)</w:t>
            </w:r>
          </w:p>
        </w:tc>
        <w:tc>
          <w:tcPr>
            <w:tcW w:type="dxa" w:w="7488"/>
            <w:gridSpan w:val="8"/>
            <w:vMerge/>
            <w:tcBorders/>
          </w:tcPr>
          <w:p/>
        </w:tc>
      </w:tr>
      <w:tr>
        <w:trPr>
          <w:trHeight w:hRule="exact" w:val="190"/>
        </w:trPr>
        <w:tc>
          <w:tcPr>
            <w:tcW w:type="dxa" w:w="5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elevando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muestra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entrenamiento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Web-based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9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Nivel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(Meta-Modelo):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optimizó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meta-</w:t>
            </w:r>
          </w:p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4" w:lineRule="exact" w:before="0" w:after="0"/>
        <w:ind w:left="0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0"/>
        </w:rPr>
        <w:t>50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000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observaciones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sintéticas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balanceadas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(ver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Fig.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2).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14" w:space="0"/>
            <w:col w:w="5186" w:space="0"/>
          </w:cols>
          <w:docGrid w:linePitch="360"/>
        </w:sectPr>
      </w:pPr>
    </w:p>
    <w:p>
      <w:pPr>
        <w:autoSpaceDN w:val="0"/>
        <w:autoSpaceDE w:val="0"/>
        <w:widowControl/>
        <w:spacing w:line="204" w:lineRule="exact" w:before="0" w:after="0"/>
        <w:ind w:left="14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clasificador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LightGBM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mediante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GridSearchCV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CMMI10" w:hAnsi="CMMI10" w:eastAsia="CMMI10"/>
          <w:b w:val="0"/>
          <w:i/>
          <w:color w:val="000000"/>
          <w:sz w:val="20"/>
        </w:rPr>
        <w:t>Z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,</w:t>
      </w:r>
    </w:p>
    <w:p>
      <w:pPr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14" w:space="0"/>
            <w:col w:w="518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sectPr>
          <w:pgSz w:w="12240" w:h="15840"/>
          <w:pgMar w:top="506" w:right="960" w:bottom="732" w:left="980" w:header="720" w:footer="720" w:gutter="0"/>
          <w:cols w:num="2" w:equalWidth="0">
            <w:col w:w="5114" w:space="0"/>
            <w:col w:w="5186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aprendiendo las fortalezas relativas y zonas de incertidum-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clasificadores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base.</w:t>
      </w:r>
    </w:p>
    <w:p>
      <w:pPr>
        <w:autoSpaceDN w:val="0"/>
        <w:tabs>
          <w:tab w:pos="1732" w:val="left"/>
        </w:tabs>
        <w:autoSpaceDE w:val="0"/>
        <w:widowControl/>
        <w:spacing w:line="200" w:lineRule="exact" w:before="312" w:after="0"/>
        <w:ind w:left="1256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IV.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Resultados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Discusión</w:t>
      </w:r>
    </w:p>
    <w:p>
      <w:pPr>
        <w:autoSpaceDN w:val="0"/>
        <w:tabs>
          <w:tab w:pos="692" w:val="left"/>
        </w:tabs>
        <w:autoSpaceDE w:val="0"/>
        <w:widowControl/>
        <w:spacing w:line="200" w:lineRule="exact" w:before="202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IV-A.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Evaluación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Conjunto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Prueba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Aislado</w:t>
      </w:r>
    </w:p>
    <w:p>
      <w:pPr>
        <w:autoSpaceDN w:val="0"/>
        <w:autoSpaceDE w:val="0"/>
        <w:widowControl/>
        <w:spacing w:line="240" w:lineRule="exact" w:before="118" w:after="0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La evaluación se ejecutó sobre la partición independien-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prueba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rFonts w:ascii="CMR7" w:hAnsi="CMR7" w:eastAsia="CMR7"/>
          <w:b w:val="0"/>
          <w:i w:val="0"/>
          <w:color w:val="000000"/>
          <w:sz w:val="14"/>
        </w:rPr>
        <w:t>test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CMR10" w:hAnsi="CMR10" w:eastAsia="CMR10"/>
          <w:b w:val="0"/>
          <w:i w:val="0"/>
          <w:color w:val="000000"/>
          <w:sz w:val="20"/>
        </w:rPr>
        <w:t>377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383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observaciones,</w:t>
      </w:r>
      <w:r>
        <w:rPr>
          <w:rFonts w:ascii="CMR10" w:hAnsi="CMR10" w:eastAsia="CMR10"/>
          <w:b w:val="0"/>
          <w:i w:val="0"/>
          <w:color w:val="000000"/>
          <w:sz w:val="20"/>
        </w:rPr>
        <w:t>20 %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total)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jamás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intervino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entrenamiento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ni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sobremuestreo.</w:t>
      </w:r>
    </w:p>
    <w:p>
      <w:pPr>
        <w:autoSpaceDN w:val="0"/>
        <w:tabs>
          <w:tab w:pos="198" w:val="left"/>
        </w:tabs>
        <w:autoSpaceDE w:val="0"/>
        <w:widowControl/>
        <w:spacing w:line="238" w:lineRule="exact" w:before="18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Tabla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presenta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análisis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comparativo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7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clasificadores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control.</w:t>
      </w:r>
    </w:p>
    <w:p>
      <w:pPr>
        <w:autoSpaceDN w:val="0"/>
        <w:autoSpaceDE w:val="0"/>
        <w:widowControl/>
        <w:spacing w:line="182" w:lineRule="exact" w:before="302" w:after="214"/>
        <w:ind w:left="432" w:right="576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Tabla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I </w:t>
      </w:r>
      <w:r>
        <w:br/>
      </w:r>
      <w:r>
        <w:rPr>
          <w:rFonts w:ascii="LMRoman8" w:hAnsi="LMRoman8" w:eastAsia="LMRoman8"/>
          <w:b w:val="0"/>
          <w:i w:val="0"/>
          <w:color w:val="000000"/>
          <w:sz w:val="16"/>
        </w:rPr>
        <w:t>Comparativa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Desempeño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sobre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el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Test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Aislado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(</w:t>
      </w:r>
      <w:r>
        <w:rPr>
          <w:rFonts w:ascii="CMMI8" w:hAnsi="CMMI8" w:eastAsia="CMMI8"/>
          <w:b w:val="0"/>
          <w:i/>
          <w:color w:val="000000"/>
          <w:sz w:val="16"/>
        </w:rPr>
        <w:t>N</w:t>
      </w:r>
      <w:r>
        <w:rPr>
          <w:rFonts w:ascii="CMR8" w:hAnsi="CMR8" w:eastAsia="CMR8"/>
          <w:b w:val="0"/>
          <w:i w:val="0"/>
          <w:color w:val="000000"/>
          <w:sz w:val="16"/>
        </w:rPr>
        <w:t>= 377</w:t>
      </w:r>
      <w:r>
        <w:rPr>
          <w:rFonts w:ascii="CMMI8" w:hAnsi="CMMI8" w:eastAsia="CMMI8"/>
          <w:b w:val="0"/>
          <w:i/>
          <w:color w:val="000000"/>
          <w:sz w:val="16"/>
        </w:rPr>
        <w:t>,</w:t>
      </w:r>
      <w:r>
        <w:rPr>
          <w:rFonts w:ascii="CMR8" w:hAnsi="CMR8" w:eastAsia="CMR8"/>
          <w:b w:val="0"/>
          <w:i w:val="0"/>
          <w:color w:val="000000"/>
          <w:sz w:val="16"/>
        </w:rPr>
        <w:t xml:space="preserve"> 383</w:t>
      </w:r>
      <w:r>
        <w:rPr>
          <w:rFonts w:ascii="LMRoman8" w:hAnsi="LMRoman8" w:eastAsia="LMRoman8"/>
          <w:b w:val="0"/>
          <w:i w:val="0"/>
          <w:color w:val="000000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.00000000000003" w:type="dxa"/>
      </w:tblPr>
      <w:tblGrid>
        <w:gridCol w:w="2060"/>
        <w:gridCol w:w="2060"/>
        <w:gridCol w:w="2060"/>
        <w:gridCol w:w="2060"/>
        <w:gridCol w:w="2060"/>
      </w:tblGrid>
      <w:tr>
        <w:trPr>
          <w:trHeight w:hRule="exact" w:val="214"/>
        </w:trPr>
        <w:tc>
          <w:tcPr>
            <w:tcW w:type="dxa" w:w="1638"/>
            <w:tcBorders>
              <w:top w:sz="5.298011302947998" w:val="single" w:color="#000000"/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44" w:after="0"/>
              <w:ind w:left="106" w:right="0" w:firstLine="0"/>
              <w:jc w:val="lef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Modelo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Evaluado</w:t>
            </w:r>
          </w:p>
        </w:tc>
        <w:tc>
          <w:tcPr>
            <w:tcW w:type="dxa" w:w="1180"/>
            <w:tcBorders>
              <w:top w:sz="5.298011302947998" w:val="single" w:color="#000000"/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44" w:after="0"/>
              <w:ind w:left="0" w:right="100" w:firstLine="0"/>
              <w:jc w:val="righ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F1-Macro</w:t>
            </w:r>
          </w:p>
        </w:tc>
        <w:tc>
          <w:tcPr>
            <w:tcW w:type="dxa" w:w="760"/>
            <w:tcBorders>
              <w:top w:sz="5.298011302947998" w:val="single" w:color="#000000"/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44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Accuracy</w:t>
            </w:r>
          </w:p>
        </w:tc>
        <w:tc>
          <w:tcPr>
            <w:tcW w:type="dxa" w:w="760"/>
            <w:tcBorders>
              <w:top w:sz="5.298011302947998" w:val="single" w:color="#000000"/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44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Precision</w:t>
            </w:r>
          </w:p>
        </w:tc>
        <w:tc>
          <w:tcPr>
            <w:tcW w:type="dxa" w:w="598"/>
            <w:tcBorders>
              <w:top w:sz="5.298011302947998" w:val="single" w:color="#000000"/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44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Recall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187700" cy="25514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2551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30"/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.00000000000006" w:type="dxa"/>
      </w:tblPr>
      <w:tblGrid>
        <w:gridCol w:w="1287"/>
        <w:gridCol w:w="1287"/>
        <w:gridCol w:w="1287"/>
        <w:gridCol w:w="1287"/>
        <w:gridCol w:w="1287"/>
        <w:gridCol w:w="1287"/>
        <w:gridCol w:w="1287"/>
        <w:gridCol w:w="1287"/>
      </w:tblGrid>
      <w:tr>
        <w:trPr>
          <w:trHeight w:hRule="exact" w:val="160"/>
        </w:trPr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6" w:after="0"/>
              <w:ind w:left="104" w:right="0" w:firstLine="0"/>
              <w:jc w:val="lef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Regresión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Logística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6" w:after="0"/>
              <w:ind w:left="0" w:right="182" w:firstLine="0"/>
              <w:jc w:val="righ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0.4220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6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0.6120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6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0.4105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6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0.4350</w:t>
            </w:r>
          </w:p>
        </w:tc>
        <w:tc>
          <w:tcPr>
            <w:tcW w:type="dxa" w:w="9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0" w:right="0" w:firstLine="0"/>
              <w:jc w:val="righ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Figura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3.</w:t>
            </w:r>
          </w:p>
        </w:tc>
        <w:tc>
          <w:tcPr>
            <w:tcW w:type="dxa" w:w="4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0" w:after="0"/>
              <w:ind w:left="158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Matriz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confusión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multiclase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normalizada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modelo</w:t>
            </w:r>
          </w:p>
        </w:tc>
      </w:tr>
      <w:tr>
        <w:trPr>
          <w:trHeight w:hRule="exact" w:val="178"/>
        </w:trPr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38" w:after="0"/>
              <w:ind w:left="104" w:right="0" w:firstLine="0"/>
              <w:jc w:val="lef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Árbol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CART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38" w:after="0"/>
              <w:ind w:left="0" w:right="182" w:firstLine="0"/>
              <w:jc w:val="righ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0.6651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3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0.8124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3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0.6720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3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0.6590</w:t>
            </w:r>
          </w:p>
        </w:tc>
        <w:tc>
          <w:tcPr>
            <w:tcW w:type="dxa" w:w="50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4" w:after="0"/>
              <w:ind w:left="286" w:right="0" w:firstLine="0"/>
              <w:jc w:val="left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Stacking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Híbrido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propuesto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sobre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el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test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set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aislado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N</w:t>
            </w:r>
            <w:r>
              <w:rPr>
                <w:rFonts w:ascii="CMR6" w:hAnsi="CMR6" w:eastAsia="CMR6"/>
                <w:b w:val="0"/>
                <w:i w:val="0"/>
                <w:color w:val="000000"/>
                <w:sz w:val="12"/>
              </w:rPr>
              <w:t>test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8" w:after="0"/>
              <w:ind w:left="0" w:right="0" w:firstLine="0"/>
              <w:jc w:val="righ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=</w:t>
            </w:r>
          </w:p>
        </w:tc>
      </w:tr>
      <w:tr>
        <w:trPr>
          <w:trHeight w:hRule="exact" w:val="162"/>
        </w:trPr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104" w:right="0" w:firstLine="0"/>
              <w:jc w:val="lef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Random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Forest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Base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182" w:firstLine="0"/>
              <w:jc w:val="righ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0.6791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0.8350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0.6840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0.6750</w:t>
            </w:r>
          </w:p>
        </w:tc>
        <w:tc>
          <w:tcPr>
            <w:tcW w:type="dxa" w:w="5306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20" w:after="0"/>
              <w:ind w:left="286" w:right="0" w:firstLine="0"/>
              <w:jc w:val="left"/>
            </w:pP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377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383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).</w:t>
            </w:r>
          </w:p>
        </w:tc>
      </w:tr>
      <w:tr>
        <w:trPr>
          <w:trHeight w:hRule="exact" w:val="136"/>
        </w:trPr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104" w:right="0" w:firstLine="0"/>
              <w:jc w:val="lef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LightGBM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Base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182" w:firstLine="0"/>
              <w:jc w:val="righ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0.6953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0.8420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0.7010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0.6910</w:t>
            </w:r>
          </w:p>
        </w:tc>
        <w:tc>
          <w:tcPr>
            <w:tcW w:type="dxa" w:w="3861"/>
            <w:gridSpan w:val="3"/>
            <w:vMerge/>
            <w:tcBorders/>
          </w:tcPr>
          <w:p/>
        </w:tc>
      </w:tr>
      <w:tr>
        <w:trPr>
          <w:trHeight w:hRule="exact" w:val="86"/>
        </w:trPr>
        <w:tc>
          <w:tcPr>
            <w:tcW w:type="dxa" w:w="195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104" w:right="0" w:firstLine="0"/>
              <w:jc w:val="lef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XGBoost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GPU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Base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182" w:firstLine="0"/>
              <w:jc w:val="righ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0.6960</w:t>
            </w:r>
          </w:p>
        </w:tc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0.8435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0.7025</w:t>
            </w:r>
          </w:p>
        </w:tc>
        <w:tc>
          <w:tcPr>
            <w:tcW w:type="dxa" w:w="65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0.6920</w:t>
            </w:r>
          </w:p>
        </w:tc>
        <w:tc>
          <w:tcPr>
            <w:tcW w:type="dxa" w:w="3861"/>
            <w:gridSpan w:val="3"/>
            <w:vMerge/>
            <w:tcBorders/>
          </w:tcPr>
          <w:p/>
        </w:tc>
      </w:tr>
      <w:tr>
        <w:trPr>
          <w:trHeight w:hRule="exact" w:val="64"/>
        </w:trPr>
        <w:tc>
          <w:tcPr>
            <w:tcW w:type="dxa" w:w="1287"/>
            <w:vMerge/>
            <w:tcBorders/>
          </w:tcPr>
          <w:p/>
        </w:tc>
        <w:tc>
          <w:tcPr>
            <w:tcW w:type="dxa" w:w="1287"/>
            <w:vMerge/>
            <w:tcBorders/>
          </w:tcPr>
          <w:p/>
        </w:tc>
        <w:tc>
          <w:tcPr>
            <w:tcW w:type="dxa" w:w="1287"/>
            <w:vMerge/>
            <w:tcBorders/>
          </w:tcPr>
          <w:p/>
        </w:tc>
        <w:tc>
          <w:tcPr>
            <w:tcW w:type="dxa" w:w="1287"/>
            <w:vMerge/>
            <w:tcBorders/>
          </w:tcPr>
          <w:p/>
        </w:tc>
        <w:tc>
          <w:tcPr>
            <w:tcW w:type="dxa" w:w="1287"/>
            <w:vMerge/>
            <w:tcBorders/>
          </w:tcPr>
          <w:p/>
        </w:tc>
        <w:tc>
          <w:tcPr>
            <w:tcW w:type="dxa" w:w="966"/>
            <w:vMerge w:val="restart"/>
            <w:tcBorders>
              <w:bottom w:sz="3.31138253211975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8" w:after="0"/>
              <w:ind w:left="0" w:right="18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IV-D.</w:t>
            </w:r>
          </w:p>
        </w:tc>
        <w:tc>
          <w:tcPr>
            <w:tcW w:type="dxa" w:w="4340"/>
            <w:gridSpan w:val="2"/>
            <w:vMerge w:val="restart"/>
            <w:tcBorders>
              <w:bottom w:sz="3.311382532119751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Validación Estadística de Significancia (Wilcoxon)</w:t>
            </w:r>
          </w:p>
        </w:tc>
      </w:tr>
      <w:tr>
        <w:trPr>
          <w:trHeight w:hRule="exact" w:val="148"/>
        </w:trPr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8" w:after="0"/>
              <w:ind w:left="104" w:right="0" w:firstLine="0"/>
              <w:jc w:val="lef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RF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+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Borderline-SMOTE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8" w:after="0"/>
              <w:ind w:left="0" w:right="182" w:firstLine="0"/>
              <w:jc w:val="righ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0.6850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0.8290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0.6890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0.6820</w:t>
            </w:r>
          </w:p>
        </w:tc>
        <w:tc>
          <w:tcPr>
            <w:tcW w:type="dxa" w:w="1287"/>
            <w:vMerge/>
            <w:tcBorders>
              <w:bottom w:sz="3.311382532119751" w:val="single" w:color="#000000"/>
            </w:tcBorders>
          </w:tcPr>
          <w:p/>
        </w:tc>
        <w:tc>
          <w:tcPr>
            <w:tcW w:type="dxa" w:w="2574"/>
            <w:gridSpan w:val="2"/>
            <w:vMerge/>
            <w:tcBorders>
              <w:bottom w:sz="3.311382532119751" w:val="single" w:color="#000000"/>
            </w:tcBorders>
          </w:tcPr>
          <w:p/>
        </w:tc>
      </w:tr>
      <w:tr>
        <w:trPr>
          <w:trHeight w:hRule="exact" w:val="174"/>
        </w:trPr>
        <w:tc>
          <w:tcPr>
            <w:tcW w:type="dxa" w:w="1956"/>
            <w:tcBorders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104" w:right="0" w:firstLine="0"/>
              <w:jc w:val="lef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XGBoost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+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Borderline</w:t>
            </w:r>
          </w:p>
        </w:tc>
        <w:tc>
          <w:tcPr>
            <w:tcW w:type="dxa" w:w="840"/>
            <w:tcBorders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182" w:firstLine="0"/>
              <w:jc w:val="right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0.6995</w:t>
            </w:r>
          </w:p>
        </w:tc>
        <w:tc>
          <w:tcPr>
            <w:tcW w:type="dxa" w:w="780"/>
            <w:tcBorders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0.8460</w:t>
            </w:r>
          </w:p>
        </w:tc>
        <w:tc>
          <w:tcPr>
            <w:tcW w:type="dxa" w:w="700"/>
            <w:tcBorders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0.7050</w:t>
            </w:r>
          </w:p>
        </w:tc>
        <w:tc>
          <w:tcPr>
            <w:tcW w:type="dxa" w:w="654"/>
            <w:tcBorders>
              <w:bottom w:sz="3.31138253211975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8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0.6950</w:t>
            </w:r>
          </w:p>
        </w:tc>
        <w:tc>
          <w:tcPr>
            <w:tcW w:type="dxa" w:w="1287"/>
            <w:vMerge/>
            <w:tcBorders>
              <w:bottom w:sz="3.311382532119751" w:val="single" w:color="#000000"/>
            </w:tcBorders>
          </w:tcPr>
          <w:p/>
        </w:tc>
        <w:tc>
          <w:tcPr>
            <w:tcW w:type="dxa" w:w="2574"/>
            <w:gridSpan w:val="2"/>
            <w:vMerge/>
            <w:tcBorders>
              <w:bottom w:sz="3.311382532119751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.00000000000003" w:type="dxa"/>
      </w:tblPr>
      <w:tblGrid>
        <w:gridCol w:w="2060"/>
        <w:gridCol w:w="2060"/>
        <w:gridCol w:w="2060"/>
        <w:gridCol w:w="2060"/>
        <w:gridCol w:w="2060"/>
      </w:tblGrid>
      <w:tr>
        <w:trPr>
          <w:trHeight w:hRule="exact" w:val="186"/>
        </w:trPr>
        <w:tc>
          <w:tcPr>
            <w:tcW w:type="dxa" w:w="2058"/>
            <w:tcBorders>
              <w:bottom w:sz="5.2980113029479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Stacking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Híbrido</w:t>
            </w: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(Propuesto)</w:t>
            </w:r>
          </w:p>
        </w:tc>
        <w:tc>
          <w:tcPr>
            <w:tcW w:type="dxa" w:w="740"/>
            <w:tcBorders>
              <w:bottom w:sz="5.2980113029479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0.7018</w:t>
            </w:r>
          </w:p>
        </w:tc>
        <w:tc>
          <w:tcPr>
            <w:tcW w:type="dxa" w:w="780"/>
            <w:tcBorders>
              <w:bottom w:sz="5.2980113029479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0.8485</w:t>
            </w:r>
          </w:p>
        </w:tc>
        <w:tc>
          <w:tcPr>
            <w:tcW w:type="dxa" w:w="700"/>
            <w:tcBorders>
              <w:bottom w:sz="5.2980113029479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0.7075</w:t>
            </w:r>
          </w:p>
        </w:tc>
        <w:tc>
          <w:tcPr>
            <w:tcW w:type="dxa" w:w="658"/>
            <w:tcBorders>
              <w:bottom w:sz="5.29801130294799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2" w:lineRule="exact" w:before="0" w:after="0"/>
              <w:ind w:left="0" w:right="0" w:firstLine="0"/>
              <w:jc w:val="center"/>
            </w:pPr>
            <w:r>
              <w:rPr>
                <w:w w:val="101.88255310058594"/>
                <w:rFonts w:ascii="LMRoman8" w:hAnsi="LMRoman8" w:eastAsia="LMRoman8"/>
                <w:b w:val="0"/>
                <w:i w:val="0"/>
                <w:color w:val="000000"/>
                <w:sz w:val="13"/>
              </w:rPr>
              <w:t>0.6980</w:t>
            </w:r>
          </w:p>
        </w:tc>
      </w:tr>
    </w:tbl>
    <w:p>
      <w:pPr>
        <w:autoSpaceDN w:val="0"/>
        <w:autoSpaceDE w:val="0"/>
        <w:widowControl/>
        <w:spacing w:line="240" w:lineRule="exact" w:before="292" w:after="254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observa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Tabla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Híbrido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propuesto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obtiene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desempeño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superior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absoluto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F1-Macro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70.18 %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Accuracy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84.85 %,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superando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CMR10" w:hAnsi="CMR10" w:eastAsia="CMR10"/>
          <w:b w:val="0"/>
          <w:i w:val="0"/>
          <w:color w:val="000000"/>
          <w:sz w:val="20"/>
        </w:rPr>
        <w:t>+0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58 %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F1-Macro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mejor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modelo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individual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(XGBoost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69.60 %).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150"/>
        <w:gridCol w:w="5150"/>
      </w:tblGrid>
      <w:tr>
        <w:trPr>
          <w:trHeight w:hRule="exact" w:val="320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IV-B.</w:t>
            </w:r>
          </w:p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10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Recuperación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Clases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Minoritarias</w:t>
            </w:r>
          </w:p>
        </w:tc>
      </w:tr>
    </w:tbl>
    <w:p>
      <w:pPr>
        <w:autoSpaceDN w:val="0"/>
        <w:autoSpaceDE w:val="0"/>
        <w:widowControl/>
        <w:spacing w:line="238" w:lineRule="exact" w:before="60" w:after="0"/>
        <w:ind w:left="0" w:right="1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impacto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principal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hibridación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Borderline-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SMOTE1 se evidenció en las clases minoritarias infrecuen-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(ver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matriz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confusión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Fig.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3):</w:t>
      </w:r>
    </w:p>
    <w:p>
      <w:pPr>
        <w:autoSpaceDN w:val="0"/>
        <w:autoSpaceDE w:val="0"/>
        <w:widowControl/>
        <w:spacing w:line="238" w:lineRule="exact" w:before="78" w:after="0"/>
        <w:ind w:left="422" w:right="1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Fuerza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Bruta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(Brute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Force):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Score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incrementó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CMR10" w:hAnsi="CMR10" w:eastAsia="CMR10"/>
          <w:b w:val="0"/>
          <w:i w:val="0"/>
          <w:color w:val="000000"/>
          <w:sz w:val="20"/>
        </w:rPr>
        <w:t>12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30 %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modelos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rebalanceo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CMR10" w:hAnsi="CMR10" w:eastAsia="CMR10"/>
          <w:b w:val="0"/>
          <w:i w:val="0"/>
          <w:color w:val="000000"/>
          <w:sz w:val="20"/>
        </w:rPr>
        <w:t>41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40 %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Stacking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Híbrido.</w:t>
      </w:r>
    </w:p>
    <w:p>
      <w:pPr>
        <w:autoSpaceDN w:val="0"/>
        <w:autoSpaceDE w:val="0"/>
        <w:widowControl/>
        <w:spacing w:line="242" w:lineRule="exact" w:before="0" w:after="0"/>
        <w:ind w:left="422" w:right="12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basados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Web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(Web-based):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F1-Score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aumentó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00 %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(colapso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predictivo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total)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CMR10" w:hAnsi="CMR10" w:eastAsia="CMR10"/>
          <w:b w:val="0"/>
          <w:i w:val="0"/>
          <w:color w:val="000000"/>
          <w:sz w:val="20"/>
        </w:rPr>
        <w:t>33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86 %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.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34" w:lineRule="exact" w:before="0" w:after="0"/>
        <w:ind w:left="120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Para verificar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diferencias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observadas son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estadísti-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camente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significativas,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dividió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test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30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bloques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independientes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rFonts w:ascii="CMMI7" w:hAnsi="CMMI7" w:eastAsia="CMMI7"/>
          <w:b w:val="0"/>
          <w:i/>
          <w:color w:val="000000"/>
          <w:sz w:val="14"/>
        </w:rPr>
        <w:t>b</w:t>
      </w:r>
      <w:r>
        <w:rPr>
          <w:rFonts w:ascii="CMSY10" w:hAnsi="CMSY10" w:eastAsia="CMSY10"/>
          <w:b w:val="0"/>
          <w:i/>
          <w:color w:val="000000"/>
          <w:sz w:val="20"/>
        </w:rPr>
        <w:t>≈</w:t>
      </w:r>
      <w:r>
        <w:rPr>
          <w:rFonts w:ascii="CMR10" w:hAnsi="CMR10" w:eastAsia="CMR10"/>
          <w:b w:val="0"/>
          <w:i w:val="0"/>
          <w:color w:val="000000"/>
          <w:sz w:val="20"/>
        </w:rPr>
        <w:t>12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579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muestras)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aplicó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la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Prueba No Paramétrica de Rangos con Signo de Wilcoxon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comparando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Híbrido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frente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mejor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modelo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base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(XGBoost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GPU).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Fig.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4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ilustra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distribución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métricas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F1-Macro.</w:t>
      </w:r>
    </w:p>
    <w:p>
      <w:pPr>
        <w:autoSpaceDN w:val="0"/>
        <w:autoSpaceDE w:val="0"/>
        <w:widowControl/>
        <w:spacing w:line="240" w:lineRule="auto" w:before="210" w:after="0"/>
        <w:ind w:left="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187700" cy="19126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91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30"/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433"/>
        <w:gridCol w:w="3433"/>
        <w:gridCol w:w="3433"/>
      </w:tblGrid>
      <w:tr>
        <w:trPr>
          <w:trHeight w:hRule="exact" w:val="298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IV-C.</w:t>
            </w:r>
          </w:p>
        </w:tc>
        <w:tc>
          <w:tcPr>
            <w:tcW w:type="dxa" w:w="4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Perfilado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Computacional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Viabilidad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Borde</w:t>
            </w:r>
          </w:p>
        </w:tc>
        <w:tc>
          <w:tcPr>
            <w:tcW w:type="dxa" w:w="5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0" w:after="0"/>
              <w:ind w:left="120" w:right="0" w:firstLine="0"/>
              <w:jc w:val="both"/>
            </w:pP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Figura 4.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Distribución empírica del indicador F1-Macro a lo largo de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30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bloques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evaluación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independiente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para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la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Prueba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de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 xml:space="preserve">Wilcoxon 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(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p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= 0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003744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 xml:space="preserve"> &lt;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 xml:space="preserve"> 0</w:t>
            </w:r>
            <w:r>
              <w:rPr>
                <w:rFonts w:ascii="CMMI8" w:hAnsi="CMMI8" w:eastAsia="CMMI8"/>
                <w:b w:val="0"/>
                <w:i/>
                <w:color w:val="000000"/>
                <w:sz w:val="16"/>
              </w:rPr>
              <w:t>,</w:t>
            </w:r>
            <w:r>
              <w:rPr>
                <w:rFonts w:ascii="CMR8" w:hAnsi="CMR8" w:eastAsia="CMR8"/>
                <w:b w:val="0"/>
                <w:i w:val="0"/>
                <w:color w:val="000000"/>
                <w:sz w:val="16"/>
              </w:rPr>
              <w:t>05</w:t>
            </w:r>
            <w:r>
              <w:rPr>
                <w:rFonts w:ascii="LMRoman8" w:hAnsi="LMRoman8" w:eastAsia="LMRoman8"/>
                <w:b w:val="0"/>
                <w:i w:val="0"/>
                <w:color w:val="000000"/>
                <w:sz w:val="16"/>
              </w:rPr>
              <w:t>).</w:t>
            </w:r>
          </w:p>
        </w:tc>
      </w:tr>
      <w:tr>
        <w:trPr>
          <w:trHeight w:hRule="exact" w:val="260"/>
        </w:trPr>
        <w:tc>
          <w:tcPr>
            <w:tcW w:type="dxa" w:w="5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2" w:after="0"/>
              <w:ind w:left="1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midió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desempeño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computacional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tiempo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real</w:t>
            </w:r>
          </w:p>
        </w:tc>
        <w:tc>
          <w:tcPr>
            <w:tcW w:type="dxa" w:w="343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40"/>
        <w:ind w:left="0" w:right="0"/>
      </w:pP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0"/>
        <w:ind w:left="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hardware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representativo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pasarelas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borde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industriales:</w:t>
      </w:r>
    </w:p>
    <w:p>
      <w:pPr>
        <w:autoSpaceDN w:val="0"/>
        <w:autoSpaceDE w:val="0"/>
        <w:widowControl/>
        <w:spacing w:line="234" w:lineRule="exact" w:before="86" w:after="0"/>
        <w:ind w:left="4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Latencia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Inferencia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Muestra:</w:t>
      </w:r>
      <w:r>
        <w:rPr>
          <w:rFonts w:ascii="CMR10" w:hAnsi="CMR10" w:eastAsia="CMR10"/>
          <w:b w:val="0"/>
          <w:i w:val="0"/>
          <w:color w:val="000000"/>
          <w:sz w:val="20"/>
        </w:rPr>
        <w:t>8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65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 µs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(micro-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segundos).</w:t>
      </w:r>
    </w:p>
    <w:p>
      <w:pPr>
        <w:autoSpaceDN w:val="0"/>
        <w:autoSpaceDE w:val="0"/>
        <w:widowControl/>
        <w:spacing w:line="234" w:lineRule="exact" w:before="10" w:after="0"/>
        <w:ind w:left="4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Tasa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Procesamiento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(Throughput):</w:t>
      </w:r>
      <w:r>
        <w:rPr>
          <w:rFonts w:ascii="CMR10" w:hAnsi="CMR10" w:eastAsia="CMR10"/>
          <w:b w:val="0"/>
          <w:i w:val="0"/>
          <w:color w:val="000000"/>
          <w:sz w:val="20"/>
        </w:rPr>
        <w:t>115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 xml:space="preserve"> 613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pa-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quetes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segundo.</w:t>
      </w:r>
    </w:p>
    <w:p>
      <w:pPr>
        <w:autoSpaceDN w:val="0"/>
        <w:autoSpaceDE w:val="0"/>
        <w:widowControl/>
        <w:spacing w:line="234" w:lineRule="exact" w:before="10" w:after="0"/>
        <w:ind w:left="422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Ocupación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Memoria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RAM:</w:t>
      </w:r>
      <w:r>
        <w:rPr>
          <w:rFonts w:ascii="CMR10" w:hAnsi="CMR10" w:eastAsia="CMR10"/>
          <w:b w:val="0"/>
          <w:i w:val="0"/>
          <w:color w:val="000000"/>
          <w:sz w:val="20"/>
        </w:rPr>
        <w:t>257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89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MB,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cumplien-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holgadamente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límite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operacional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deseado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autoSpaceDE w:val="0"/>
        <w:widowControl/>
        <w:spacing w:line="236" w:lineRule="exact" w:before="0" w:after="0"/>
        <w:ind w:left="120" w:right="2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resultado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computó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estadístico</w:t>
      </w:r>
      <w:r>
        <w:rPr>
          <w:rFonts w:ascii="CMMI10" w:hAnsi="CMMI10" w:eastAsia="CMMI10"/>
          <w:b w:val="0"/>
          <w:i/>
          <w:color w:val="000000"/>
          <w:sz w:val="20"/>
        </w:rPr>
        <w:t>W</w:t>
      </w:r>
      <w:r>
        <w:rPr>
          <w:rFonts w:ascii="CMR7" w:hAnsi="CMR7" w:eastAsia="CMR7"/>
          <w:b w:val="0"/>
          <w:i w:val="0"/>
          <w:color w:val="000000"/>
          <w:sz w:val="14"/>
        </w:rPr>
        <w:t>+</w:t>
      </w:r>
      <w:r>
        <w:rPr>
          <w:rFonts w:ascii="CMR10" w:hAnsi="CMR10" w:eastAsia="CMR10"/>
          <w:b w:val="0"/>
          <w:i w:val="0"/>
          <w:color w:val="000000"/>
          <w:sz w:val="20"/>
        </w:rPr>
        <w:t>=</w:t>
      </w:r>
      <w:r>
        <w:rPr>
          <w:rFonts w:ascii="CMR10" w:hAnsi="CMR10" w:eastAsia="CMR10"/>
          <w:b w:val="0"/>
          <w:i w:val="0"/>
          <w:color w:val="000000"/>
          <w:sz w:val="20"/>
        </w:rPr>
        <w:t>95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un </w:t>
      </w:r>
      <w:r>
        <w:rPr>
          <w:rFonts w:ascii="CMMI10" w:hAnsi="CMMI10" w:eastAsia="CMMI10"/>
          <w:b w:val="0"/>
          <w:i/>
          <w:color w:val="000000"/>
          <w:sz w:val="20"/>
        </w:rPr>
        <w:t>p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-valor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003744</w:t>
      </w:r>
      <w:r>
        <w:rPr>
          <w:rFonts w:ascii="CMMI10" w:hAnsi="CMMI10" w:eastAsia="CMMI10"/>
          <w:b w:val="0"/>
          <w:i/>
          <w:color w:val="000000"/>
          <w:sz w:val="20"/>
        </w:rPr>
        <w:t>&lt;</w:t>
      </w:r>
      <w:r>
        <w:rPr>
          <w:rFonts w:ascii="CMR10" w:hAnsi="CMR10" w:eastAsia="CMR10"/>
          <w:b w:val="0"/>
          <w:i w:val="0"/>
          <w:color w:val="000000"/>
          <w:sz w:val="20"/>
        </w:rPr>
        <w:t>0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05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permitiendo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rechazar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formal-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mente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Hipótesis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Nula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MI10" w:hAnsi="CMMI10" w:eastAsia="CMMI10"/>
          <w:b w:val="0"/>
          <w:i/>
          <w:color w:val="000000"/>
          <w:sz w:val="20"/>
        </w:rPr>
        <w:t>H</w:t>
      </w:r>
      <w:r>
        <w:rPr>
          <w:rFonts w:ascii="CMR7" w:hAnsi="CMR7" w:eastAsia="CMR7"/>
          <w:b w:val="0"/>
          <w:i w:val="0"/>
          <w:color w:val="000000"/>
          <w:sz w:val="14"/>
        </w:rPr>
        <w:t>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confirmar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superioridad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estadística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arquitectura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propuesta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CMR10" w:hAnsi="CMR10" w:eastAsia="CMR10"/>
          <w:b w:val="0"/>
          <w:i w:val="0"/>
          <w:color w:val="000000"/>
          <w:sz w:val="20"/>
        </w:rPr>
        <w:t>99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5 %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confianza.</w:t>
      </w:r>
    </w:p>
    <w:p>
      <w:pPr>
        <w:autoSpaceDN w:val="0"/>
        <w:tabs>
          <w:tab w:pos="2272" w:val="left"/>
        </w:tabs>
        <w:autoSpaceDE w:val="0"/>
        <w:widowControl/>
        <w:spacing w:line="200" w:lineRule="exact" w:before="138" w:after="0"/>
        <w:ind w:left="186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V.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Conclusiones</w:t>
      </w:r>
    </w:p>
    <w:p>
      <w:pPr>
        <w:autoSpaceDN w:val="0"/>
        <w:autoSpaceDE w:val="0"/>
        <w:widowControl/>
        <w:spacing w:line="200" w:lineRule="exact" w:before="94" w:after="40"/>
        <w:ind w:left="31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este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trabajo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desarrolló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evaluó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exitosamente</w:t>
      </w:r>
    </w:p>
    <w:p>
      <w:pPr>
        <w:sectPr>
          <w:type w:val="nextColumn"/>
          <w:pgSz w:w="12240" w:h="15840"/>
          <w:pgMar w:top="506" w:right="960" w:bottom="732" w:left="980" w:header="720" w:footer="720" w:gutter="0"/>
          <w:cols w:num="2" w:equalWidth="0">
            <w:col w:w="5140" w:space="0"/>
            <w:col w:w="5160" w:space="0"/>
          </w:cols>
          <w:docGrid w:linePitch="360"/>
        </w:sectPr>
      </w:pPr>
    </w:p>
    <w:p>
      <w:pPr>
        <w:autoSpaceDN w:val="0"/>
        <w:tabs>
          <w:tab w:pos="5260" w:val="left"/>
        </w:tabs>
        <w:autoSpaceDE w:val="0"/>
        <w:widowControl/>
        <w:spacing w:line="204" w:lineRule="exact" w:before="0" w:after="0"/>
        <w:ind w:left="422" w:right="0" w:firstLine="0"/>
        <w:jc w:val="left"/>
      </w:pPr>
      <w:r>
        <w:rPr>
          <w:rFonts w:ascii="CMR10" w:hAnsi="CMR10" w:eastAsia="CMR10"/>
          <w:b w:val="0"/>
          <w:i w:val="0"/>
          <w:color w:val="000000"/>
          <w:sz w:val="20"/>
        </w:rPr>
        <w:t>300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MB.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0"/>
        </w:rPr>
        <w:t>un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modelo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híbrido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niveles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combina</w:t>
      </w:r>
    </w:p>
    <w:p>
      <w:pPr>
        <w:sectPr>
          <w:type w:val="continuous"/>
          <w:pgSz w:w="12240" w:h="15840"/>
          <w:pgMar w:top="506" w:right="960" w:bottom="732" w:left="9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0"/>
        <w:ind w:left="0" w:right="0"/>
      </w:pPr>
    </w:p>
    <w:p>
      <w:pPr>
        <w:autoSpaceDN w:val="0"/>
        <w:autoSpaceDE w:val="0"/>
        <w:widowControl/>
        <w:spacing w:line="228" w:lineRule="exact" w:before="0" w:after="0"/>
        <w:ind w:left="0" w:right="4800" w:firstLine="0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Random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Forest,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XGBoost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GPU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LightGBM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cuan-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tificación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incertidumbre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Entropía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Shannon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y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sobremuestreo en la frontera vía Borderline-SMOTE1 para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detección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minoritarios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redes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IoT.</w:t>
      </w:r>
    </w:p>
    <w:p>
      <w:pPr>
        <w:autoSpaceDN w:val="0"/>
        <w:autoSpaceDE w:val="0"/>
        <w:widowControl/>
        <w:spacing w:line="240" w:lineRule="exact" w:before="0" w:after="0"/>
        <w:ind w:left="0" w:right="480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hallazgos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demuestran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que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propuesta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alcanza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un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F1-Macro del 70.18 % y una Accuracy del 84.85 %,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restau-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rando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sensibilidad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predictiva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ataques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minoritarios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destructivos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(Brute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Force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Web-based)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sin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comprometer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velocidad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operativa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R10" w:hAnsi="CMR10" w:eastAsia="CMR10"/>
          <w:b w:val="0"/>
          <w:i w:val="0"/>
          <w:color w:val="000000"/>
          <w:sz w:val="20"/>
        </w:rPr>
        <w:t>8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65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 µs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/muestra)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ni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memoria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RAM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(</w:t>
      </w:r>
      <w:r>
        <w:rPr>
          <w:rFonts w:ascii="CMR10" w:hAnsi="CMR10" w:eastAsia="CMR10"/>
          <w:b w:val="0"/>
          <w:i w:val="0"/>
          <w:color w:val="000000"/>
          <w:sz w:val="20"/>
        </w:rPr>
        <w:t>257</w:t>
      </w:r>
      <w:r>
        <w:rPr>
          <w:rFonts w:ascii="CMMI10" w:hAnsi="CMMI10" w:eastAsia="CMMI10"/>
          <w:b w:val="0"/>
          <w:i/>
          <w:color w:val="000000"/>
          <w:sz w:val="20"/>
        </w:rPr>
        <w:t>,</w:t>
      </w:r>
      <w:r>
        <w:rPr>
          <w:rFonts w:ascii="CMR10" w:hAnsi="CMR10" w:eastAsia="CMR10"/>
          <w:b w:val="0"/>
          <w:i w:val="0"/>
          <w:color w:val="000000"/>
          <w:sz w:val="20"/>
        </w:rPr>
        <w:t>89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MB).</w:t>
      </w:r>
    </w:p>
    <w:p>
      <w:pPr>
        <w:autoSpaceDN w:val="0"/>
        <w:autoSpaceDE w:val="0"/>
        <w:widowControl/>
        <w:spacing w:line="238" w:lineRule="exact" w:before="0" w:after="0"/>
        <w:ind w:left="0" w:right="4800" w:firstLine="198"/>
        <w:jc w:val="both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Como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trabajo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futuro,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contempla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el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despliegue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del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artefacto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exportado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formato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ONNX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sobre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pasarelas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físicas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entornos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reales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producción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MYPE/PYME.</w:t>
      </w:r>
    </w:p>
    <w:p>
      <w:pPr>
        <w:autoSpaceDN w:val="0"/>
        <w:autoSpaceDE w:val="0"/>
        <w:widowControl/>
        <w:spacing w:line="200" w:lineRule="exact" w:before="168" w:after="0"/>
        <w:ind w:left="2018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Referencias</w:t>
      </w:r>
    </w:p>
    <w:p>
      <w:pPr>
        <w:autoSpaceDN w:val="0"/>
        <w:autoSpaceDE w:val="0"/>
        <w:widowControl/>
        <w:spacing w:line="180" w:lineRule="exact" w:before="106" w:after="0"/>
        <w:ind w:left="362" w:right="4800" w:hanging="278"/>
        <w:jc w:val="both"/>
      </w:pPr>
      <w:r>
        <w:rPr>
          <w:rFonts w:ascii="LMRoman8" w:hAnsi="LMRoman8" w:eastAsia="LMRoman8"/>
          <w:b w:val="0"/>
          <w:i w:val="0"/>
          <w:color w:val="000000"/>
          <w:sz w:val="16"/>
        </w:rPr>
        <w:t>[1]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Sahoo,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Tripathy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Sahoo,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“Machine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learning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and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deep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learning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techniques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for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IoT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intrusion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detection: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A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comprehensive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survey,”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IEEE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Internet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Things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Journal,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vol.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10,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no.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14,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pp.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12450–12468,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2023.</w:t>
      </w:r>
    </w:p>
    <w:p>
      <w:pPr>
        <w:autoSpaceDN w:val="0"/>
        <w:autoSpaceDE w:val="0"/>
        <w:widowControl/>
        <w:spacing w:line="180" w:lineRule="exact" w:before="0" w:after="0"/>
        <w:ind w:left="362" w:right="4800" w:hanging="278"/>
        <w:jc w:val="both"/>
      </w:pPr>
      <w:r>
        <w:rPr>
          <w:rFonts w:ascii="LMRoman8" w:hAnsi="LMRoman8" w:eastAsia="LMRoman8"/>
          <w:b w:val="0"/>
          <w:i w:val="0"/>
          <w:color w:val="000000"/>
          <w:sz w:val="16"/>
        </w:rPr>
        <w:t>[2]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Neto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al.,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“CICIoT2023: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real-time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dataset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for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pro-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filing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Internet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of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Things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attacks,”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Proc.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IEEE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International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Conference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Cyber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Security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and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Resilience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(CSR),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2023,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pp.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1–8.</w:t>
      </w:r>
    </w:p>
    <w:p>
      <w:pPr>
        <w:autoSpaceDN w:val="0"/>
        <w:autoSpaceDE w:val="0"/>
        <w:widowControl/>
        <w:spacing w:line="180" w:lineRule="exact" w:before="0" w:after="0"/>
        <w:ind w:left="362" w:right="4800" w:hanging="278"/>
        <w:jc w:val="both"/>
      </w:pPr>
      <w:r>
        <w:rPr>
          <w:rFonts w:ascii="LMRoman8" w:hAnsi="LMRoman8" w:eastAsia="LMRoman8"/>
          <w:b w:val="0"/>
          <w:i w:val="0"/>
          <w:color w:val="000000"/>
          <w:sz w:val="16"/>
        </w:rPr>
        <w:t>[3]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Ferrag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et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al.,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“Deep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learning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for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cyber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security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intrusion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detection: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Approaches,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datasets,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and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comparative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study,”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Jour-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nal of Information Security and Applications, vol. 64, p. 103041,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2022.</w:t>
      </w:r>
    </w:p>
    <w:p>
      <w:pPr>
        <w:autoSpaceDN w:val="0"/>
        <w:autoSpaceDE w:val="0"/>
        <w:widowControl/>
        <w:spacing w:line="180" w:lineRule="exact" w:before="0" w:after="0"/>
        <w:ind w:left="0" w:right="4800" w:firstLine="0"/>
        <w:jc w:val="right"/>
      </w:pPr>
      <w:r>
        <w:rPr>
          <w:rFonts w:ascii="LMRoman8" w:hAnsi="LMRoman8" w:eastAsia="LMRoman8"/>
          <w:b w:val="0"/>
          <w:i w:val="0"/>
          <w:color w:val="000000"/>
          <w:sz w:val="16"/>
        </w:rPr>
        <w:t>[4]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V.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Chawla,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W.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Bowyer,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Hall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W.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Kegelmeyer,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“SMOTE: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Synthetic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minority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over-sampling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technique,”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Jour-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nal of Artificial Intelligence Research, vol. 16, pp. 321–357, 2002.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[5]</w:t>
      </w:r>
      <w:r>
        <w:rPr>
          <w:rFonts w:ascii="LMRoman8" w:hAnsi="LMRoman8" w:eastAsia="LMRoman8"/>
          <w:b w:val="0"/>
          <w:i w:val="0"/>
          <w:color w:val="000000"/>
          <w:sz w:val="16"/>
        </w:rPr>
        <w:t>H.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Han,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W.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Wang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y</w:t>
      </w:r>
      <w:r>
        <w:rPr>
          <w:rFonts w:ascii="LMRoman8" w:hAnsi="LMRoman8" w:eastAsia="LMRoman8"/>
          <w:b w:val="0"/>
          <w:i w:val="0"/>
          <w:color w:val="000000"/>
          <w:sz w:val="16"/>
        </w:rPr>
        <w:t>B.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H.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Zhou,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“Borderline-SMOTE: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A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new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over-sampling</w:t>
      </w:r>
      <w:r>
        <w:rPr>
          <w:rFonts w:ascii="LMRoman8" w:hAnsi="LMRoman8" w:eastAsia="LMRoman8"/>
          <w:b w:val="0"/>
          <w:i w:val="0"/>
          <w:color w:val="000000"/>
          <w:sz w:val="16"/>
        </w:rPr>
        <w:t>method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imbalanced</w:t>
      </w:r>
      <w:r>
        <w:rPr>
          <w:rFonts w:ascii="LMRoman8" w:hAnsi="LMRoman8" w:eastAsia="LMRoman8"/>
          <w:b w:val="0"/>
          <w:i w:val="0"/>
          <w:color w:val="000000"/>
          <w:sz w:val="16"/>
        </w:rPr>
        <w:t>data</w:t>
      </w:r>
      <w:r>
        <w:rPr>
          <w:rFonts w:ascii="LMRoman8" w:hAnsi="LMRoman8" w:eastAsia="LMRoman8"/>
          <w:b w:val="0"/>
          <w:i w:val="0"/>
          <w:color w:val="000000"/>
          <w:sz w:val="16"/>
        </w:rPr>
        <w:t>sets</w:t>
      </w:r>
      <w:r>
        <w:rPr>
          <w:rFonts w:ascii="LMRoman8" w:hAnsi="LMRoman8" w:eastAsia="LMRoman8"/>
          <w:b w:val="0"/>
          <w:i w:val="0"/>
          <w:color w:val="000000"/>
          <w:sz w:val="16"/>
        </w:rPr>
        <w:t>learning,”</w:t>
      </w:r>
      <w:r>
        <w:rPr>
          <w:rFonts w:ascii="LMRoman8" w:hAnsi="LMRoman8" w:eastAsia="LMRoman8"/>
          <w:b w:val="0"/>
          <w:i w:val="0"/>
          <w:color w:val="000000"/>
          <w:sz w:val="16"/>
        </w:rPr>
        <w:t>en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Proc.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International</w:t>
      </w:r>
      <w:r>
        <w:rPr>
          <w:rFonts w:ascii="LMRoman8" w:hAnsi="LMRoman8" w:eastAsia="LMRoman8"/>
          <w:b w:val="0"/>
          <w:i w:val="0"/>
          <w:color w:val="000000"/>
          <w:sz w:val="16"/>
        </w:rPr>
        <w:t>Conference</w:t>
      </w:r>
      <w:r>
        <w:rPr>
          <w:rFonts w:ascii="LMRoman8" w:hAnsi="LMRoman8" w:eastAsia="LMRoman8"/>
          <w:b w:val="0"/>
          <w:i w:val="0"/>
          <w:color w:val="000000"/>
          <w:sz w:val="16"/>
        </w:rPr>
        <w:t>on</w:t>
      </w:r>
      <w:r>
        <w:rPr>
          <w:rFonts w:ascii="LMRoman8" w:hAnsi="LMRoman8" w:eastAsia="LMRoman8"/>
          <w:b w:val="0"/>
          <w:i w:val="0"/>
          <w:color w:val="000000"/>
          <w:sz w:val="16"/>
        </w:rPr>
        <w:t>Intelligent</w:t>
      </w:r>
      <w:r>
        <w:rPr>
          <w:rFonts w:ascii="LMRoman8" w:hAnsi="LMRoman8" w:eastAsia="LMRoman8"/>
          <w:b w:val="0"/>
          <w:i w:val="0"/>
          <w:color w:val="000000"/>
          <w:sz w:val="16"/>
        </w:rPr>
        <w:t xml:space="preserve">Computing </w:t>
      </w:r>
      <w:r>
        <w:rPr>
          <w:rFonts w:ascii="LMRoman8" w:hAnsi="LMRoman8" w:eastAsia="LMRoman8"/>
          <w:b w:val="0"/>
          <w:i w:val="0"/>
          <w:color w:val="000000"/>
          <w:sz w:val="16"/>
        </w:rPr>
        <w:t>(ICIC),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2005,</w:t>
      </w:r>
      <w:r>
        <w:rPr>
          <w:rFonts w:ascii="LMRoman8" w:hAnsi="LMRoman8" w:eastAsia="LMRoman8"/>
          <w:b w:val="0"/>
          <w:i w:val="0"/>
          <w:color w:val="000000"/>
          <w:sz w:val="16"/>
        </w:rPr>
        <w:t>pp.</w:t>
      </w:r>
      <w:r>
        <w:rPr>
          <w:rFonts w:ascii="LMRoman8" w:hAnsi="LMRoman8" w:eastAsia="LMRoman8"/>
          <w:b w:val="0"/>
          <w:i w:val="0"/>
          <w:color w:val="000000"/>
          <w:sz w:val="16"/>
        </w:rPr>
        <w:t>878–887.</w:t>
      </w:r>
    </w:p>
    <w:sectPr w:rsidR="00FC693F" w:rsidRPr="0006063C" w:rsidSect="00034616">
      <w:pgSz w:w="12240" w:h="15840"/>
      <w:pgMar w:top="510" w:right="1440" w:bottom="1440" w:left="9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