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888" w:rsidRPr="00745888" w:rsidRDefault="00745888">
      <w:pPr>
        <w:rPr>
          <w:u w:val="single"/>
        </w:rPr>
      </w:pPr>
      <w:r w:rsidRPr="00745888">
        <w:rPr>
          <w:u w:val="single"/>
        </w:rPr>
        <w:t>Annotated Bibliography</w:t>
      </w:r>
    </w:p>
    <w:p w:rsidR="00745888" w:rsidRDefault="00745888">
      <w:r>
        <w:t>Topic: Health and Disease</w:t>
      </w:r>
    </w:p>
    <w:p w:rsidR="00745888" w:rsidRPr="00F10E04" w:rsidRDefault="00745888" w:rsidP="00745888">
      <w:pPr>
        <w:pStyle w:val="NormalWeb"/>
        <w:ind w:left="480" w:hanging="480"/>
        <w:rPr>
          <w:u w:val="single"/>
        </w:rPr>
      </w:pPr>
      <w:r w:rsidRPr="00F10E04">
        <w:rPr>
          <w:u w:val="single"/>
        </w:rPr>
        <w:t xml:space="preserve">Williams, P. D. (2010). Darwinian interventions: taming pathogens through evolutionary ecology. </w:t>
      </w:r>
      <w:r w:rsidRPr="00F10E04">
        <w:rPr>
          <w:iCs/>
          <w:u w:val="single"/>
        </w:rPr>
        <w:t>Trends in Parasitology</w:t>
      </w:r>
      <w:r w:rsidRPr="00F10E04">
        <w:rPr>
          <w:u w:val="single"/>
        </w:rPr>
        <w:t xml:space="preserve">, </w:t>
      </w:r>
      <w:r w:rsidRPr="00F10E04">
        <w:rPr>
          <w:iCs/>
          <w:u w:val="single"/>
        </w:rPr>
        <w:t>26</w:t>
      </w:r>
      <w:r w:rsidRPr="00F10E04">
        <w:rPr>
          <w:u w:val="single"/>
        </w:rPr>
        <w:t xml:space="preserve">(2), 83–92. </w:t>
      </w:r>
      <w:proofErr w:type="gramStart"/>
      <w:r w:rsidRPr="00F10E04">
        <w:rPr>
          <w:u w:val="single"/>
        </w:rPr>
        <w:t>doi:10.1016</w:t>
      </w:r>
      <w:proofErr w:type="gramEnd"/>
      <w:r w:rsidRPr="00F10E04">
        <w:rPr>
          <w:u w:val="single"/>
        </w:rPr>
        <w:t>/j.pt.2009.11.009</w:t>
      </w:r>
    </w:p>
    <w:p w:rsidR="00745888" w:rsidRDefault="00F10E04" w:rsidP="00F10E04">
      <w:pPr>
        <w:pStyle w:val="NormalWeb"/>
        <w:ind w:left="480" w:hanging="480"/>
      </w:pPr>
      <w:r>
        <w:tab/>
      </w:r>
      <w:r w:rsidR="00745888">
        <w:t xml:space="preserve">Epidemiological shifts that favor the spread of diseases: (1) anthropogenic </w:t>
      </w:r>
      <w:r w:rsidR="00770B50">
        <w:t xml:space="preserve">disturbances (expansion of agro lands into undisturbed ^exposure of humans to wild species; (2) increased susceptibility </w:t>
      </w:r>
      <w:proofErr w:type="spellStart"/>
      <w:proofErr w:type="gramStart"/>
      <w:r w:rsidR="00770B50">
        <w:t>bc</w:t>
      </w:r>
      <w:proofErr w:type="spellEnd"/>
      <w:proofErr w:type="gramEnd"/>
      <w:r w:rsidR="00770B50">
        <w:t xml:space="preserve"> ageing population; (3) urbanization, creation of slums</w:t>
      </w:r>
    </w:p>
    <w:p w:rsidR="00FE73D3" w:rsidRDefault="00F10E04" w:rsidP="00F10E04">
      <w:pPr>
        <w:pStyle w:val="NormalWeb"/>
        <w:ind w:left="480" w:hanging="480"/>
      </w:pPr>
      <w:r>
        <w:tab/>
      </w:r>
      <w:r w:rsidR="00FE73D3">
        <w:t xml:space="preserve">Vaccine-driven virulence evolution: treatments that reduce rate that infection is acquired or transmitted are </w:t>
      </w:r>
      <w:proofErr w:type="spellStart"/>
      <w:r w:rsidR="00FE73D3">
        <w:t>NONselective</w:t>
      </w:r>
      <w:proofErr w:type="spellEnd"/>
      <w:r w:rsidR="00FE73D3">
        <w:t xml:space="preserve"> vs. treatments that diminish mortality owing to infection or reduce pathogen exploitation select for increased exploitation and hence, greater virulence (Williams 2009)</w:t>
      </w:r>
    </w:p>
    <w:p w:rsidR="00AF7EB7" w:rsidRDefault="00F10E04" w:rsidP="00F10E04">
      <w:pPr>
        <w:pStyle w:val="NormalWeb"/>
        <w:ind w:left="480" w:hanging="480"/>
      </w:pPr>
      <w:r>
        <w:tab/>
      </w:r>
      <w:r w:rsidR="00AF7EB7">
        <w:t>Source-sink theory: virulent effects are the consequence of repeated evolution of adaptations that allow for utilization of novel host tissues or structures with resultant pathogenic effects</w:t>
      </w:r>
    </w:p>
    <w:p w:rsidR="00770B50" w:rsidRDefault="00F10E04" w:rsidP="00F10E04">
      <w:pPr>
        <w:pStyle w:val="NormalWeb"/>
        <w:ind w:left="480" w:hanging="480"/>
      </w:pPr>
      <w:r>
        <w:tab/>
      </w:r>
      <w:r w:rsidR="00A833C1">
        <w:t xml:space="preserve">Evolutionary modeling of pathogens: </w:t>
      </w:r>
      <w:r w:rsidR="00A833C1" w:rsidRPr="00A833C1">
        <w:rPr>
          <w:u w:val="single"/>
        </w:rPr>
        <w:t>immune evasion model vs. game-theoretic model</w:t>
      </w:r>
      <w:r w:rsidR="00FE73D3">
        <w:t xml:space="preserve"> </w:t>
      </w:r>
    </w:p>
    <w:p w:rsidR="00880CCB" w:rsidRDefault="00F10E04" w:rsidP="00F10E04">
      <w:pPr>
        <w:pStyle w:val="NormalWeb"/>
        <w:ind w:left="480" w:hanging="480"/>
      </w:pPr>
      <w:r>
        <w:tab/>
      </w:r>
      <w:r w:rsidR="00880CCB">
        <w:t xml:space="preserve">Sink-source: an ecological perspective of regions in which an organism flourishes vs. where is diminishes. Can be used to look at disease ecology and evolution. </w:t>
      </w:r>
    </w:p>
    <w:p w:rsidR="00880CCB" w:rsidRDefault="00F10E04" w:rsidP="00F10E04">
      <w:pPr>
        <w:pStyle w:val="NormalWeb"/>
        <w:ind w:left="480" w:hanging="480"/>
      </w:pPr>
      <w:r>
        <w:tab/>
      </w:r>
      <w:r w:rsidR="00880CCB">
        <w:t xml:space="preserve">Competitive interactions and pathogen evolution: treatment induces a switch in different strains’ abilities to compete for hosts. </w:t>
      </w:r>
    </w:p>
    <w:p w:rsidR="00074D1D" w:rsidRDefault="00F10E04" w:rsidP="00F10E04">
      <w:pPr>
        <w:pStyle w:val="NormalWeb"/>
        <w:ind w:left="480" w:hanging="480"/>
      </w:pPr>
      <w:r>
        <w:tab/>
      </w:r>
      <w:r w:rsidR="00074D1D">
        <w:t>Co-evolutionary arms race: treatment for pathogens creates rapid and intense selection on the pathogen and reciprocal evolutionary change via pathogen adaptations. “Red Queen”</w:t>
      </w:r>
    </w:p>
    <w:p w:rsidR="00F10E04" w:rsidRDefault="00F10E04" w:rsidP="00F10E04">
      <w:pPr>
        <w:pStyle w:val="NormalWeb"/>
        <w:ind w:left="480" w:hanging="480"/>
      </w:pPr>
      <w:r>
        <w:tab/>
      </w:r>
      <w:r w:rsidR="00074D1D">
        <w:t xml:space="preserve">Barton-Hall experimental evolution method allows for the prediction of possible pathogen phenotypes that could result given certain types of treatment, which can function as an early warning system. </w:t>
      </w:r>
    </w:p>
    <w:p w:rsidR="00880CCB" w:rsidRDefault="00F10E04" w:rsidP="00F10E04">
      <w:pPr>
        <w:pStyle w:val="NormalWeb"/>
        <w:ind w:left="480" w:hanging="480"/>
      </w:pPr>
      <w:r>
        <w:tab/>
      </w:r>
      <w:r w:rsidR="00BE250E">
        <w:t xml:space="preserve">Inhibiting the generation of variation: some RNA viruses (HIV-1 and </w:t>
      </w:r>
      <w:proofErr w:type="spellStart"/>
      <w:r w:rsidR="00BE250E">
        <w:t>hepC</w:t>
      </w:r>
      <w:proofErr w:type="spellEnd"/>
      <w:r w:rsidR="00BE250E">
        <w:t xml:space="preserve">) achieve adaptability by having a very high error rate in </w:t>
      </w:r>
      <w:proofErr w:type="gramStart"/>
      <w:r w:rsidR="00BE250E">
        <w:t>replication which</w:t>
      </w:r>
      <w:proofErr w:type="gramEnd"/>
      <w:r w:rsidR="00BE250E">
        <w:t xml:space="preserve"> allows them to respond readily to environmental change. However, pushing this error past </w:t>
      </w:r>
      <w:proofErr w:type="gramStart"/>
      <w:r w:rsidR="00BE250E">
        <w:t>it’s</w:t>
      </w:r>
      <w:proofErr w:type="gramEnd"/>
      <w:r w:rsidR="00BE250E">
        <w:t xml:space="preserve"> threshold could lead to extinction of strain. </w:t>
      </w:r>
    </w:p>
    <w:p w:rsidR="00F10E04" w:rsidRDefault="00F10E04" w:rsidP="00F10E04">
      <w:pPr>
        <w:spacing w:before="100" w:beforeAutospacing="1" w:after="100" w:afterAutospacing="1"/>
        <w:ind w:left="480" w:hanging="480"/>
        <w:rPr>
          <w:rFonts w:ascii="Times" w:hAnsi="Times" w:cs="Times New Roman"/>
          <w:sz w:val="20"/>
          <w:szCs w:val="20"/>
          <w:u w:val="single"/>
        </w:rPr>
      </w:pPr>
      <w:r w:rsidRPr="00F10E04">
        <w:rPr>
          <w:rFonts w:ascii="Times" w:hAnsi="Times" w:cs="Times New Roman"/>
          <w:sz w:val="20"/>
          <w:szCs w:val="20"/>
          <w:u w:val="single"/>
        </w:rPr>
        <w:t xml:space="preserve">Wilkinson, R. G. (1994). The epidemiological transition: from material scarcity to social disadvantage? </w:t>
      </w:r>
      <w:r w:rsidRPr="00F10E04">
        <w:rPr>
          <w:rFonts w:ascii="Times" w:hAnsi="Times" w:cs="Times New Roman"/>
          <w:i/>
          <w:iCs/>
          <w:sz w:val="20"/>
          <w:szCs w:val="20"/>
          <w:u w:val="single"/>
        </w:rPr>
        <w:t>Daedalus</w:t>
      </w:r>
      <w:r w:rsidRPr="00F10E04">
        <w:rPr>
          <w:rFonts w:ascii="Times" w:hAnsi="Times" w:cs="Times New Roman"/>
          <w:sz w:val="20"/>
          <w:szCs w:val="20"/>
          <w:u w:val="single"/>
        </w:rPr>
        <w:t xml:space="preserve">, </w:t>
      </w:r>
      <w:r w:rsidRPr="00F10E04">
        <w:rPr>
          <w:rFonts w:ascii="Times" w:hAnsi="Times" w:cs="Times New Roman"/>
          <w:i/>
          <w:iCs/>
          <w:sz w:val="20"/>
          <w:szCs w:val="20"/>
          <w:u w:val="single"/>
        </w:rPr>
        <w:t>123</w:t>
      </w:r>
      <w:r w:rsidRPr="00F10E04">
        <w:rPr>
          <w:rFonts w:ascii="Times" w:hAnsi="Times" w:cs="Times New Roman"/>
          <w:sz w:val="20"/>
          <w:szCs w:val="20"/>
          <w:u w:val="single"/>
        </w:rPr>
        <w:t xml:space="preserve">(4), 61–77. Retrieved from </w:t>
      </w:r>
      <w:hyperlink r:id="rId5" w:history="1">
        <w:r w:rsidRPr="00C11370">
          <w:rPr>
            <w:rStyle w:val="Hyperlink"/>
            <w:rFonts w:ascii="Times" w:hAnsi="Times" w:cs="Times New Roman"/>
            <w:sz w:val="20"/>
            <w:szCs w:val="20"/>
          </w:rPr>
          <w:t>http://www.ncbi.nlm.nih.gov/pubmed/11639364</w:t>
        </w:r>
      </w:hyperlink>
    </w:p>
    <w:p w:rsidR="00F10E04" w:rsidRDefault="00F10E04" w:rsidP="00F10E04">
      <w:pPr>
        <w:spacing w:before="100" w:beforeAutospacing="1" w:after="100" w:afterAutospacing="1"/>
        <w:ind w:left="480" w:hanging="48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Shift from material constraints to social constraints in acquiring resources. (</w:t>
      </w:r>
      <w:proofErr w:type="gramStart"/>
      <w:r>
        <w:rPr>
          <w:rFonts w:ascii="Times" w:hAnsi="Times" w:cs="Times New Roman"/>
          <w:sz w:val="20"/>
          <w:szCs w:val="20"/>
        </w:rPr>
        <w:t>i</w:t>
      </w:r>
      <w:proofErr w:type="gramEnd"/>
      <w:r>
        <w:rPr>
          <w:rFonts w:ascii="Times" w:hAnsi="Times" w:cs="Times New Roman"/>
          <w:sz w:val="20"/>
          <w:szCs w:val="20"/>
        </w:rPr>
        <w:t xml:space="preserve">.e. inequality) </w:t>
      </w:r>
    </w:p>
    <w:p w:rsidR="00F10E04" w:rsidRDefault="00F10E04" w:rsidP="00F10E04">
      <w:pPr>
        <w:spacing w:before="100" w:beforeAutospacing="1" w:after="100" w:afterAutospacing="1"/>
        <w:ind w:left="480" w:hanging="48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“Epidemiological Transition” </w:t>
      </w:r>
      <w:proofErr w:type="gramStart"/>
      <w:r>
        <w:rPr>
          <w:rFonts w:ascii="Times" w:hAnsi="Times" w:cs="Times New Roman"/>
          <w:sz w:val="20"/>
          <w:szCs w:val="20"/>
        </w:rPr>
        <w:t>shift</w:t>
      </w:r>
      <w:proofErr w:type="gramEnd"/>
      <w:r>
        <w:rPr>
          <w:rFonts w:ascii="Times" w:hAnsi="Times" w:cs="Times New Roman"/>
          <w:sz w:val="20"/>
          <w:szCs w:val="20"/>
        </w:rPr>
        <w:t xml:space="preserve"> from mortality due to infectious disease to that due to chronic disease (aka “lifestyle diseases”) </w:t>
      </w:r>
    </w:p>
    <w:p w:rsidR="00F10E04" w:rsidRPr="00F10E04" w:rsidRDefault="00F10E04" w:rsidP="00F10E04">
      <w:pPr>
        <w:spacing w:before="100" w:beforeAutospacing="1" w:after="100" w:afterAutospacing="1"/>
        <w:ind w:left="480" w:hanging="48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Relationship between SES and health WITHIN country (strong) vs. SES and health BETWEEN countries (none)</w:t>
      </w:r>
      <w:bookmarkStart w:id="0" w:name="_GoBack"/>
      <w:bookmarkEnd w:id="0"/>
    </w:p>
    <w:p w:rsidR="00F10E04" w:rsidRDefault="00F10E04" w:rsidP="00F10E04">
      <w:pPr>
        <w:pStyle w:val="NormalWeb"/>
        <w:ind w:left="480" w:hanging="480"/>
      </w:pPr>
    </w:p>
    <w:p w:rsidR="00745888" w:rsidRDefault="00745888" w:rsidP="00F10E04"/>
    <w:sectPr w:rsidR="00745888" w:rsidSect="00F1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888"/>
    <w:rsid w:val="00074D1D"/>
    <w:rsid w:val="005A6BB7"/>
    <w:rsid w:val="00745888"/>
    <w:rsid w:val="00770B50"/>
    <w:rsid w:val="00880CCB"/>
    <w:rsid w:val="00A833C1"/>
    <w:rsid w:val="00A96836"/>
    <w:rsid w:val="00AF7EB7"/>
    <w:rsid w:val="00BC4072"/>
    <w:rsid w:val="00BE250E"/>
    <w:rsid w:val="00CD21BC"/>
    <w:rsid w:val="00F10E04"/>
    <w:rsid w:val="00FE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8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0E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8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0E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4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cbi.nlm.nih.gov/pubmed/1163936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386</Words>
  <Characters>2201</Characters>
  <Application>Microsoft Macintosh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Garcia</dc:creator>
  <cp:keywords/>
  <dc:description/>
  <cp:lastModifiedBy>Angela Garcia</cp:lastModifiedBy>
  <cp:revision>2</cp:revision>
  <dcterms:created xsi:type="dcterms:W3CDTF">2014-05-26T21:42:00Z</dcterms:created>
  <dcterms:modified xsi:type="dcterms:W3CDTF">2014-05-26T21:42:00Z</dcterms:modified>
</cp:coreProperties>
</file>