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DVAMOCLES SWORD™ (SIGNUM SENTINEL) - Prospetto Tecnico e Diario di Sviluppo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Questo documento raccoglie integralmente l'evoluzione architettonica, le sfide tecniche e le soluzioni implementate durante lo sviluppo della pipeline </w:t>
      </w:r>
      <w:r w:rsidDel="00000000" w:rsidR="00000000" w:rsidRPr="00000000">
        <w:rPr>
          <w:b w:val="1"/>
          <w:bCs w:val="1"/>
          <w:rtl w:val="0"/>
        </w:rPr>
        <w:t xml:space="preserve">SIGNUM SENTINEL</w:t>
      </w:r>
      <w:r w:rsidDel="00000000" w:rsidR="00000000" w:rsidRPr="00000000">
        <w:rPr>
          <w:rtl w:val="0"/>
        </w:rPr>
        <w:t xml:space="preserve">, parte del framework </w:t>
      </w:r>
      <w:r w:rsidDel="00000000" w:rsidR="00000000" w:rsidRPr="00000000">
        <w:rPr>
          <w:i w:val="1"/>
          <w:iCs w:val="1"/>
          <w:rtl w:val="0"/>
        </w:rPr>
        <w:t xml:space="preserve">DVAMOCLES SWORD™</w:t>
      </w:r>
      <w:r w:rsidDel="00000000" w:rsidR="00000000" w:rsidRPr="00000000">
        <w:rPr>
          <w:rtl w:val="0"/>
        </w:rPr>
        <w:t xml:space="preserve">. Il sistema è progettato per gestire l'ingestione, la validazione fisica e la normalizzazione automatizzata di asset PBR (Physically Based Rendering).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Obiettivi del Progetto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L'obiettivo primario è automatizzare il passaggio dei materiali dai RAW archive (es. AmbientCG, Quixel, Poliigon) al Vault di produzione, garantendo l'integrità dei dati e la coerenza delle convenzioni di naming tramite un sistema di apprendimento costante.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Architettura dei Moduli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Il sistema è strutturato in modo modulare per separare la logica di interfaccia, l'analisi dei dati e l'intelligenza artificiale.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Modulo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Funzione Principale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main_gui.py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Hub centrale basato su CustomTkinter con supporto Drag &amp; Drop e telemetria hardware.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core/import_assistant.py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Orchestratore dell'importazione. Gestisce il ciclo di vita dell'IA e l'unificazione dei dati estratti.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core/naming_intelligence.py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Motore di classificazione basato sulla Knowledge Base JSON (Single Source of Truth).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core/vision_engine.py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Analisi Image-to-Text tramite modelli BLIP per generare descrizioni e tag semantici.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core/visual_analyzer.py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Analisi tecnica dei pixel tramite OpenCV per convalidare mappe (es. Normal vs Grayscale).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core/asset_parser.py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Lettore di file di setup (.mtlx, .tres) per l'apprendimento automatico delle convenzioni.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Evoluzione Tecnica e Bug Fixing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Durante lo sviluppo sono state affrontate e risolte diverse criticità strutturali: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Gestione Drag &amp; Drop:</w:t>
      </w:r>
      <w:r w:rsidDel="00000000" w:rsidR="00000000" w:rsidRPr="00000000">
        <w:rPr>
          <w:rtl w:val="0"/>
        </w:rPr>
        <w:t xml:space="preserve"> Risolti problemi di ereditarietà multipla tra customtkinter e tkinterdnd2 tramite l'implementazione di una classe base ponte per l'inizializzazione corretta del modulo Tcl.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Ottimizzazione VRAM:</w:t>
      </w:r>
      <w:r w:rsidDel="00000000" w:rsidR="00000000" w:rsidRPr="00000000">
        <w:rPr>
          <w:rtl w:val="0"/>
        </w:rPr>
        <w:t xml:space="preserve"> Implementato un protocollo di "Lazy Loading" e scaricamento manuale/automatico della memoria (VRAM) tramite torch.cuda.empty_cache() per consentire l'uso di software di rendering in contemporanea.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Auto-Sorting Intelligente:</w:t>
      </w:r>
      <w:r w:rsidDel="00000000" w:rsidR="00000000" w:rsidRPr="00000000">
        <w:rPr>
          <w:rtl w:val="0"/>
        </w:rPr>
        <w:t xml:space="preserve"> Passaggio da una logica di "string splitting" a un sistema di "Fuzzy Matching" che confronta i file in staging con i materiali già esistenti nel Vault per evitare duplicazioni.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Unificazione Knowledge Base:</w:t>
      </w:r>
      <w:r w:rsidDel="00000000" w:rsidR="00000000" w:rsidRPr="00000000">
        <w:rPr>
          <w:rtl w:val="0"/>
        </w:rPr>
        <w:t xml:space="preserve"> Migrazione dei pattern di naming da codice hardcoded a file naming_map.json dinamici.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Integrazione AI Vision (Protocollo SIGNUM)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Il "boost" dell'importazione è garantito da tre livelli di analisi: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Analisi Semantica:</w:t>
      </w:r>
      <w:r w:rsidDel="00000000" w:rsidR="00000000" w:rsidRPr="00000000">
        <w:rPr>
          <w:rtl w:val="0"/>
        </w:rPr>
        <w:t xml:space="preserve"> Il modello </w:t>
      </w:r>
      <w:r w:rsidDel="00000000" w:rsidR="00000000" w:rsidRPr="00000000">
        <w:rPr>
          <w:i w:val="1"/>
          <w:iCs w:val="1"/>
          <w:rtl w:val="0"/>
        </w:rPr>
        <w:t xml:space="preserve">BLIP</w:t>
      </w:r>
      <w:r w:rsidDel="00000000" w:rsidR="00000000" w:rsidRPr="00000000">
        <w:rPr>
          <w:rtl w:val="0"/>
        </w:rPr>
        <w:t xml:space="preserve"> "osserva" l'Albedo e genera descrizioni tecniche (es. "Black stone tiles with dark mortar").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Analisi Cromatica:</w:t>
      </w:r>
      <w:r w:rsidDel="00000000" w:rsidR="00000000" w:rsidRPr="00000000">
        <w:rPr>
          <w:rtl w:val="0"/>
        </w:rPr>
        <w:t xml:space="preserve"> OpenCV verifica la firma spettrale delle mappe Normal (dominanza viola/azzurra) segnalando errori se il file contiene dati in scala di grigi.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Apprendimento MTLX:</w:t>
      </w:r>
      <w:r w:rsidDel="00000000" w:rsidR="00000000" w:rsidRPr="00000000">
        <w:rPr>
          <w:rtl w:val="0"/>
        </w:rPr>
        <w:t xml:space="preserve"> Il sistema legge i file MaterialX e associa i suffissi dei nomi file ai nodi dello shader, salvando la regola per utilizzi futuri.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Setup e Dipendenze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Per garantire la stabilità, il sistema è ottimizzato per </w:t>
      </w:r>
      <w:r w:rsidDel="00000000" w:rsidR="00000000" w:rsidRPr="00000000">
        <w:rPr>
          <w:b w:val="1"/>
          <w:bCs w:val="1"/>
          <w:rtl w:val="0"/>
        </w:rPr>
        <w:t xml:space="preserve">Python 3.12</w:t>
      </w:r>
      <w:r w:rsidDel="00000000" w:rsidR="00000000" w:rsidRPr="00000000">
        <w:rPr>
          <w:rtl w:val="0"/>
        </w:rPr>
        <w:t xml:space="preserve">. Le dipendenze core includono: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pip install customtkinter psutil gputil pillow tkinterdnd2 pyexiftool</w:t>
        <w:br w:type="textWrapping"/>
        <w:t xml:space="preserve">pip install opencv-python numpy</w:t>
        <w:br w:type="textWrapping"/>
        <w:t xml:space="preserve">pip install torch torchvision transformers</w:t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Prossimi Sviluppi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>
          <w:rtl w:val="0"/>
        </w:rPr>
        <w:t xml:space="preserve">Le fasi successive prevedono l'implementazione del modulo </w:t>
      </w:r>
      <w:r w:rsidDel="00000000" w:rsidR="00000000" w:rsidRPr="00000000">
        <w:rPr>
          <w:b w:val="1"/>
          <w:bCs w:val="1"/>
          <w:rtl w:val="0"/>
        </w:rPr>
        <w:t xml:space="preserve">"The Oracle"</w:t>
      </w:r>
      <w:r w:rsidDel="00000000" w:rsidR="00000000" w:rsidRPr="00000000">
        <w:rPr>
          <w:rtl w:val="0"/>
        </w:rPr>
        <w:t xml:space="preserve"> per la validazione fisica stringente e lo sviluppo del sistema di </w:t>
      </w:r>
      <w:r w:rsidDel="00000000" w:rsidR="00000000" w:rsidRPr="00000000">
        <w:rPr>
          <w:b w:val="1"/>
          <w:bCs w:val="1"/>
          <w:rtl w:val="0"/>
        </w:rPr>
        <w:t xml:space="preserve">Normalizzazione</w:t>
      </w:r>
      <w:r w:rsidDel="00000000" w:rsidR="00000000" w:rsidRPr="00000000">
        <w:rPr>
          <w:rtl w:val="0"/>
        </w:rPr>
        <w:t xml:space="preserve"> per la conversione automatica degli standard (es. OpenGL to DirectX).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Documento generato automaticamente per il progetto DVAMOCLES SWORD™.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