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88B9DB5" w14:textId="0A096674" w:rsidR="00581EE0" w:rsidRPr="004249CB" w:rsidRDefault="00AA248F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>
        <w:fldChar w:fldCharType="begin"/>
      </w:r>
      <w:r w:rsidR="000D767F">
        <w:instrText>HYPERLINK "http://carmstrong.io/"</w:instrText>
      </w:r>
      <w:r>
        <w:fldChar w:fldCharType="separate"/>
      </w:r>
      <w:r w:rsidR="000D767F">
        <w:rPr>
          <w:rStyle w:val="Hyperlink"/>
          <w:rFonts w:ascii="Cambria" w:hAnsi="Cambria"/>
          <w:sz w:val="17"/>
          <w:szCs w:val="17"/>
        </w:rPr>
        <w:t>http://carmstrong.io</w:t>
      </w:r>
      <w:r>
        <w:rPr>
          <w:rStyle w:val="Hyperlink"/>
          <w:rFonts w:ascii="Cambria" w:hAnsi="Cambria"/>
          <w:sz w:val="17"/>
          <w:szCs w:val="17"/>
        </w:rPr>
        <w:fldChar w:fldCharType="end"/>
      </w:r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0" w:history="1">
        <w:r w:rsidR="000D767F">
          <w:rPr>
            <w:rStyle w:val="Hyperlink"/>
            <w:rFonts w:ascii="Cambria" w:hAnsi="Cambria"/>
            <w:sz w:val="17"/>
            <w:szCs w:val="17"/>
          </w:rPr>
          <w:t>http://opstrong.com</w:t>
        </w:r>
      </w:hyperlink>
    </w:p>
    <w:p w14:paraId="24C44045" w14:textId="272F0D03" w:rsidR="00581EE0" w:rsidRPr="009772A2" w:rsidRDefault="005769F8" w:rsidP="0097206F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b/>
          <w:i/>
          <w:sz w:val="36"/>
          <w:szCs w:val="36"/>
        </w:rPr>
        <w:t>Vice President, Engineering</w:t>
      </w:r>
    </w:p>
    <w:p w14:paraId="5CA86E7F" w14:textId="5A37D201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31BD5557" w:rsidR="00542C83" w:rsidRPr="00146532" w:rsidRDefault="00542C83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 xml:space="preserve">I build products and lead teams </w:t>
      </w:r>
      <w:r w:rsidR="00B517B6">
        <w:rPr>
          <w:rFonts w:ascii="Cambria" w:hAnsi="Cambria" w:cs="Arial"/>
          <w:color w:val="000000"/>
          <w:sz w:val="23"/>
          <w:szCs w:val="23"/>
        </w:rPr>
        <w:t>that enable</w:t>
      </w:r>
      <w:r>
        <w:rPr>
          <w:rFonts w:ascii="Cambria" w:hAnsi="Cambria" w:cs="Arial"/>
          <w:color w:val="000000"/>
          <w:sz w:val="23"/>
          <w:szCs w:val="23"/>
        </w:rPr>
        <w:t xml:space="preserve"> technology </w:t>
      </w:r>
      <w:r w:rsidR="00B517B6">
        <w:rPr>
          <w:rFonts w:ascii="Cambria" w:hAnsi="Cambria" w:cs="Arial"/>
          <w:color w:val="000000"/>
          <w:sz w:val="23"/>
          <w:szCs w:val="23"/>
        </w:rPr>
        <w:t>to serve</w:t>
      </w:r>
      <w:r>
        <w:rPr>
          <w:rFonts w:ascii="Cambria" w:hAnsi="Cambria" w:cs="Arial"/>
          <w:color w:val="000000"/>
          <w:sz w:val="23"/>
          <w:szCs w:val="23"/>
        </w:rPr>
        <w:t xml:space="preserve"> people and community</w:t>
      </w:r>
      <w:r w:rsidR="00E94DE1">
        <w:rPr>
          <w:rFonts w:ascii="Cambria" w:hAnsi="Cambria" w:cs="Arial"/>
          <w:color w:val="000000"/>
          <w:sz w:val="23"/>
          <w:szCs w:val="23"/>
        </w:rPr>
        <w:t>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132F5D02" w:rsidR="00F95D87" w:rsidRPr="009772A2" w:rsidRDefault="002732F5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Technical Delivery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D52F12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1E12470" w:rsidR="00D52F12" w:rsidRPr="00D52F12" w:rsidRDefault="00D52F12" w:rsidP="00D52F12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(Kubernetes, CoreOS)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>nfrastructure (AWS, Azure, GCE)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A</w:t>
      </w:r>
      <w:r w:rsidRPr="009772A2">
        <w:rPr>
          <w:rFonts w:ascii="Cambria" w:hAnsi="Cambria"/>
          <w:sz w:val="20"/>
          <w:szCs w:val="20"/>
        </w:rPr>
        <w:t>uto</w:t>
      </w:r>
      <w:r>
        <w:rPr>
          <w:rFonts w:ascii="Cambria" w:hAnsi="Cambria"/>
          <w:sz w:val="20"/>
          <w:szCs w:val="20"/>
        </w:rPr>
        <w:t xml:space="preserve">mation | SaaS/PaaS/IaaS Technologies 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E0A9EB3" w14:textId="10EA4DF6" w:rsidR="009F4806" w:rsidRPr="00171204" w:rsidRDefault="009F4806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SABBATICAL</w:t>
      </w:r>
      <w:r w:rsidRPr="00171204">
        <w:rPr>
          <w:rFonts w:ascii="Cambria" w:hAnsi="Cambria"/>
          <w:caps/>
          <w:sz w:val="24"/>
          <w:szCs w:val="24"/>
        </w:rPr>
        <w:t>—</w:t>
      </w:r>
      <w:r w:rsidR="00C56B7A">
        <w:rPr>
          <w:rFonts w:ascii="Cambria" w:hAnsi="Cambria"/>
          <w:i/>
          <w:sz w:val="20"/>
          <w:szCs w:val="20"/>
        </w:rPr>
        <w:t>Intentional reflection on personal</w:t>
      </w:r>
      <w:r w:rsidR="00F722FC">
        <w:rPr>
          <w:rFonts w:ascii="Cambria" w:hAnsi="Cambria"/>
          <w:i/>
          <w:sz w:val="20"/>
          <w:szCs w:val="20"/>
        </w:rPr>
        <w:t xml:space="preserve"> skills and goals</w:t>
      </w:r>
      <w:r w:rsidR="00C56B7A">
        <w:rPr>
          <w:rFonts w:ascii="Cambria" w:hAnsi="Cambria"/>
          <w:i/>
          <w:sz w:val="20"/>
          <w:szCs w:val="20"/>
        </w:rPr>
        <w:t xml:space="preserve">, </w:t>
      </w:r>
      <w:r w:rsidR="00F722FC">
        <w:rPr>
          <w:rFonts w:ascii="Cambria" w:hAnsi="Cambria"/>
          <w:i/>
          <w:sz w:val="20"/>
          <w:szCs w:val="20"/>
        </w:rPr>
        <w:t>exploring</w:t>
      </w:r>
      <w:r w:rsidR="00C56B7A">
        <w:rPr>
          <w:rFonts w:ascii="Cambria" w:hAnsi="Cambria"/>
          <w:i/>
          <w:sz w:val="20"/>
          <w:szCs w:val="20"/>
        </w:rPr>
        <w:t xml:space="preserve"> how to </w:t>
      </w:r>
      <w:r w:rsidR="004B5C5F">
        <w:rPr>
          <w:rFonts w:ascii="Cambria" w:hAnsi="Cambria"/>
          <w:i/>
          <w:sz w:val="20"/>
          <w:szCs w:val="20"/>
        </w:rPr>
        <w:t>focus my work on my mission</w:t>
      </w:r>
    </w:p>
    <w:p w14:paraId="08770E26" w14:textId="1F9C193D" w:rsidR="009F4806" w:rsidRPr="009772A2" w:rsidRDefault="008A224E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A54F9D">
        <w:rPr>
          <w:rFonts w:ascii="Cambria" w:hAnsi="Cambria"/>
          <w:b/>
          <w:u w:val="single"/>
        </w:rPr>
        <w:t>Technical Leadership Coach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2F260E2D" w:rsidR="00416FCB" w:rsidRPr="00885313" w:rsidRDefault="00B51C75" w:rsidP="0088531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1" w:history="1">
        <w:r w:rsidR="00E35E64" w:rsidRPr="006F1ADA">
          <w:rPr>
            <w:rStyle w:val="Hyperlink"/>
            <w:rFonts w:ascii="Cambria" w:hAnsi="Cambria"/>
            <w:i/>
            <w:sz w:val="20"/>
            <w:szCs w:val="20"/>
          </w:rPr>
          <w:t>http://opstrong</w:t>
        </w:r>
        <w:r w:rsidR="00E35E64" w:rsidRPr="006F1ADA">
          <w:rPr>
            <w:rStyle w:val="Hyperlink"/>
            <w:rFonts w:ascii="Cambria" w:hAnsi="Cambria"/>
            <w:i/>
            <w:sz w:val="20"/>
            <w:szCs w:val="20"/>
          </w:rPr>
          <w:t>.</w:t>
        </w:r>
        <w:r w:rsidR="00E35E64" w:rsidRPr="006F1ADA">
          <w:rPr>
            <w:rStyle w:val="Hyperlink"/>
            <w:rFonts w:ascii="Cambria" w:hAnsi="Cambria"/>
            <w:i/>
            <w:sz w:val="20"/>
            <w:szCs w:val="20"/>
          </w:rPr>
          <w:t>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</w:p>
    <w:p w14:paraId="1E96C068" w14:textId="427D6AD0" w:rsidR="00416FCB" w:rsidRPr="00416FCB" w:rsidRDefault="00416FCB" w:rsidP="00416FCB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Advised </w:t>
      </w:r>
      <w:proofErr w:type="spellStart"/>
      <w:r>
        <w:rPr>
          <w:rFonts w:ascii="Cambria" w:hAnsi="Cambria"/>
          <w:sz w:val="21"/>
          <w:szCs w:val="21"/>
        </w:rPr>
        <w:t>Xinova</w:t>
      </w:r>
      <w:proofErr w:type="spellEnd"/>
      <w:r>
        <w:rPr>
          <w:rFonts w:ascii="Cambria" w:hAnsi="Cambria"/>
          <w:sz w:val="21"/>
          <w:szCs w:val="21"/>
        </w:rPr>
        <w:t xml:space="preserve">, a </w:t>
      </w:r>
      <w:r w:rsidR="00CB5F4E">
        <w:rPr>
          <w:rFonts w:ascii="Cambria" w:hAnsi="Cambria"/>
          <w:sz w:val="21"/>
          <w:szCs w:val="21"/>
        </w:rPr>
        <w:t>company</w:t>
      </w:r>
      <w:r>
        <w:rPr>
          <w:rFonts w:ascii="Cambria" w:hAnsi="Cambria"/>
          <w:sz w:val="21"/>
          <w:szCs w:val="21"/>
        </w:rPr>
        <w:t xml:space="preserve"> focused on disrupting innovation</w:t>
      </w:r>
      <w:r w:rsidR="00885313" w:rsidRPr="00E206D8">
        <w:rPr>
          <w:rFonts w:ascii="Cambria" w:hAnsi="Cambria"/>
          <w:caps/>
          <w:sz w:val="21"/>
          <w:szCs w:val="21"/>
        </w:rPr>
        <w:t>—</w:t>
      </w:r>
      <w:r w:rsidR="00DD46A8">
        <w:rPr>
          <w:rFonts w:ascii="Cambria" w:hAnsi="Cambria"/>
          <w:sz w:val="21"/>
          <w:szCs w:val="21"/>
        </w:rPr>
        <w:t>advised</w:t>
      </w:r>
      <w:r w:rsidR="00E5065E">
        <w:rPr>
          <w:rFonts w:ascii="Cambria" w:hAnsi="Cambria"/>
          <w:sz w:val="21"/>
          <w:szCs w:val="21"/>
        </w:rPr>
        <w:t xml:space="preserve"> engineering leadership to </w:t>
      </w:r>
      <w:r w:rsidR="008001F4">
        <w:rPr>
          <w:rFonts w:ascii="Cambria" w:hAnsi="Cambria"/>
          <w:sz w:val="21"/>
          <w:szCs w:val="21"/>
        </w:rPr>
        <w:t xml:space="preserve">identify gaps in </w:t>
      </w:r>
      <w:r w:rsidR="00947E62">
        <w:rPr>
          <w:rFonts w:ascii="Cambria" w:hAnsi="Cambria"/>
          <w:sz w:val="21"/>
          <w:szCs w:val="21"/>
        </w:rPr>
        <w:t>accountability and delivery</w:t>
      </w:r>
      <w:r w:rsidR="008001F4">
        <w:rPr>
          <w:rFonts w:ascii="Cambria" w:hAnsi="Cambria"/>
          <w:sz w:val="21"/>
          <w:szCs w:val="21"/>
        </w:rPr>
        <w:t>, and helped interview and hir</w:t>
      </w:r>
      <w:r w:rsidR="002E529B">
        <w:rPr>
          <w:rFonts w:ascii="Cambria" w:hAnsi="Cambria"/>
          <w:sz w:val="21"/>
          <w:szCs w:val="21"/>
        </w:rPr>
        <w:t>e new leadership</w:t>
      </w:r>
    </w:p>
    <w:p w14:paraId="7063CDD5" w14:textId="454FD5F0" w:rsidR="0066381A" w:rsidRPr="0066381A" w:rsidRDefault="0066381A" w:rsidP="00416FCB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Served a</w:t>
      </w:r>
      <w:r w:rsidR="00416FCB">
        <w:rPr>
          <w:rFonts w:ascii="Cambria" w:hAnsi="Cambria"/>
          <w:sz w:val="21"/>
          <w:szCs w:val="21"/>
        </w:rPr>
        <w:t xml:space="preserve">s </w:t>
      </w:r>
      <w:r>
        <w:rPr>
          <w:rFonts w:ascii="Cambria" w:hAnsi="Cambria"/>
          <w:sz w:val="21"/>
          <w:szCs w:val="21"/>
        </w:rPr>
        <w:t>Director of Engineerin</w:t>
      </w:r>
      <w:r w:rsidRPr="00E206D8">
        <w:rPr>
          <w:rFonts w:ascii="Cambria" w:hAnsi="Cambria"/>
          <w:sz w:val="21"/>
          <w:szCs w:val="21"/>
        </w:rPr>
        <w:t>g</w:t>
      </w:r>
      <w:r w:rsidR="00416FCB">
        <w:rPr>
          <w:rFonts w:ascii="Cambria" w:hAnsi="Cambria"/>
          <w:sz w:val="21"/>
          <w:szCs w:val="21"/>
        </w:rPr>
        <w:t xml:space="preserve"> at </w:t>
      </w:r>
      <w:proofErr w:type="spellStart"/>
      <w:r w:rsidR="00416FCB">
        <w:rPr>
          <w:rFonts w:ascii="Cambria" w:hAnsi="Cambria"/>
          <w:sz w:val="21"/>
          <w:szCs w:val="21"/>
        </w:rPr>
        <w:t>Algorithmia</w:t>
      </w:r>
      <w:proofErr w:type="spellEnd"/>
      <w:r w:rsidR="00416FCB">
        <w:rPr>
          <w:rFonts w:ascii="Cambria" w:hAnsi="Cambria"/>
          <w:sz w:val="21"/>
          <w:szCs w:val="21"/>
        </w:rPr>
        <w:t>, a</w:t>
      </w:r>
      <w:r w:rsidR="00D8000C">
        <w:rPr>
          <w:rFonts w:ascii="Cambria" w:hAnsi="Cambria"/>
          <w:sz w:val="21"/>
          <w:szCs w:val="21"/>
        </w:rPr>
        <w:t>n</w:t>
      </w:r>
      <w:r w:rsidR="00416FCB">
        <w:rPr>
          <w:rFonts w:ascii="Cambria" w:hAnsi="Cambria"/>
          <w:sz w:val="21"/>
          <w:szCs w:val="21"/>
        </w:rPr>
        <w:t xml:space="preserve"> </w:t>
      </w:r>
      <w:r w:rsidR="005D121F">
        <w:rPr>
          <w:rFonts w:ascii="Cambria" w:hAnsi="Cambria"/>
          <w:sz w:val="21"/>
          <w:szCs w:val="21"/>
        </w:rPr>
        <w:t xml:space="preserve">enterprise </w:t>
      </w:r>
      <w:r w:rsidR="00A02E5F">
        <w:rPr>
          <w:rFonts w:ascii="Cambria" w:hAnsi="Cambria"/>
          <w:sz w:val="21"/>
          <w:szCs w:val="21"/>
        </w:rPr>
        <w:t xml:space="preserve">data science </w:t>
      </w:r>
      <w:r w:rsidR="005D121F">
        <w:rPr>
          <w:rFonts w:ascii="Cambria" w:hAnsi="Cambria"/>
          <w:sz w:val="21"/>
          <w:szCs w:val="21"/>
        </w:rPr>
        <w:t>PaaS</w:t>
      </w:r>
      <w:r w:rsidR="00416FCB">
        <w:rPr>
          <w:rFonts w:ascii="Cambria" w:hAnsi="Cambria"/>
          <w:sz w:val="21"/>
          <w:szCs w:val="21"/>
        </w:rPr>
        <w:t xml:space="preserve"> startup</w:t>
      </w:r>
      <w:r w:rsidR="00E206D8" w:rsidRPr="00E206D8">
        <w:rPr>
          <w:rFonts w:ascii="Cambria" w:hAnsi="Cambria"/>
          <w:caps/>
          <w:sz w:val="21"/>
          <w:szCs w:val="21"/>
        </w:rPr>
        <w:t>—</w:t>
      </w:r>
      <w:r w:rsidRPr="00E206D8">
        <w:rPr>
          <w:rFonts w:ascii="Cambria" w:hAnsi="Cambria"/>
          <w:sz w:val="21"/>
          <w:szCs w:val="21"/>
        </w:rPr>
        <w:t>d</w:t>
      </w:r>
      <w:r>
        <w:rPr>
          <w:rFonts w:ascii="Cambria" w:hAnsi="Cambria"/>
          <w:sz w:val="21"/>
          <w:szCs w:val="21"/>
        </w:rPr>
        <w:t xml:space="preserve">esigned the </w:t>
      </w:r>
      <w:r w:rsidR="00E206D8">
        <w:rPr>
          <w:rFonts w:ascii="Cambria" w:hAnsi="Cambria"/>
          <w:sz w:val="21"/>
          <w:szCs w:val="21"/>
        </w:rPr>
        <w:t xml:space="preserve">technical </w:t>
      </w:r>
      <w:r>
        <w:rPr>
          <w:rFonts w:ascii="Cambria" w:hAnsi="Cambria"/>
          <w:sz w:val="21"/>
          <w:szCs w:val="21"/>
        </w:rPr>
        <w:t>organization, recruited talent</w:t>
      </w:r>
      <w:r w:rsidR="00E206D8">
        <w:rPr>
          <w:rFonts w:ascii="Cambria" w:hAnsi="Cambria"/>
          <w:sz w:val="21"/>
          <w:szCs w:val="21"/>
        </w:rPr>
        <w:t>, and created</w:t>
      </w:r>
      <w:r>
        <w:rPr>
          <w:rFonts w:ascii="Cambria" w:hAnsi="Cambria"/>
          <w:sz w:val="21"/>
          <w:szCs w:val="21"/>
        </w:rPr>
        <w:t xml:space="preserve"> </w:t>
      </w:r>
      <w:r w:rsidR="00CB68BF">
        <w:rPr>
          <w:rFonts w:ascii="Cambria" w:hAnsi="Cambria"/>
          <w:sz w:val="21"/>
          <w:szCs w:val="21"/>
        </w:rPr>
        <w:t xml:space="preserve">a culture fostering </w:t>
      </w:r>
      <w:r w:rsidRPr="0066381A">
        <w:rPr>
          <w:rFonts w:ascii="Cambria" w:hAnsi="Cambria"/>
          <w:sz w:val="21"/>
          <w:szCs w:val="21"/>
        </w:rPr>
        <w:t>scalable work processes, better defined responsibilities, and happier employees</w:t>
      </w:r>
    </w:p>
    <w:p w14:paraId="2C704D2A" w14:textId="49A3ACB0" w:rsidR="009F4806" w:rsidRDefault="009F4806" w:rsidP="009F4806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41F6">
        <w:rPr>
          <w:rFonts w:ascii="Cambria" w:hAnsi="Cambria"/>
          <w:sz w:val="21"/>
          <w:szCs w:val="21"/>
        </w:rPr>
        <w:t>Advised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2CDD9553" w14:textId="1E14873E" w:rsidR="007B6B58" w:rsidRPr="0029736A" w:rsidRDefault="00416FCB" w:rsidP="0029736A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20D8208C" w14:textId="77777777" w:rsidR="0029736A" w:rsidRDefault="0029736A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19AD1A56" w:rsidR="00CC3726" w:rsidRPr="00171204" w:rsidRDefault="001C03BE" w:rsidP="001C03BE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1C03BE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5743E764" w:rsidR="001C03BE" w:rsidRPr="009772A2" w:rsidRDefault="0066381A" w:rsidP="001C03B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>, becoming Azure Kubernetes Service.</w:t>
      </w:r>
    </w:p>
    <w:p w14:paraId="44379BDC" w14:textId="28EDC8E7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29736A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4B00FC42" w14:textId="70A3D3CC" w:rsidR="0029736A" w:rsidRPr="0029736A" w:rsidRDefault="0029736A" w:rsidP="0029736A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lastRenderedPageBreak/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 xml:space="preserve"> (cont’d)</w:t>
      </w:r>
    </w:p>
    <w:p w14:paraId="246315AC" w14:textId="29A8C7AD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97EC9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216DE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D3556B">
      <w:pPr>
        <w:tabs>
          <w:tab w:val="right" w:pos="10512"/>
        </w:tabs>
        <w:spacing w:before="180"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751C0CD3" w:rsidR="001C03BE" w:rsidRPr="00BA39ED" w:rsidRDefault="00416FCB" w:rsidP="00792C10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Focused 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>
        <w:rPr>
          <w:rFonts w:ascii="Cambria" w:hAnsi="Cambria"/>
          <w:i/>
          <w:sz w:val="20"/>
          <w:szCs w:val="20"/>
        </w:rPr>
        <w:t xml:space="preserve"> </w:t>
      </w:r>
    </w:p>
    <w:p w14:paraId="4B16E7A4" w14:textId="6F2CC67A" w:rsidR="002E6CB9" w:rsidRDefault="008A233D" w:rsidP="00285BC6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policy, </w:t>
      </w:r>
    </w:p>
    <w:p w14:paraId="30E5FDCE" w14:textId="16A8C6FA" w:rsidR="00BA39ED" w:rsidRDefault="00285BC6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63E61DFD" w14:textId="5799A9FC" w:rsidR="00416FCB" w:rsidRPr="009772A2" w:rsidRDefault="00416FCB" w:rsidP="00416FCB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 xml:space="preserve">Designed and built tooling and infrastructure to foster the engineering team’s productivity </w:t>
      </w:r>
      <w:r w:rsidR="00042DBD">
        <w:rPr>
          <w:rFonts w:ascii="Cambria" w:hAnsi="Cambria"/>
          <w:sz w:val="21"/>
          <w:szCs w:val="21"/>
        </w:rPr>
        <w:t xml:space="preserve">and </w:t>
      </w:r>
      <w:r w:rsidR="003E0D48">
        <w:rPr>
          <w:rFonts w:ascii="Cambria" w:hAnsi="Cambria"/>
          <w:sz w:val="21"/>
          <w:szCs w:val="21"/>
        </w:rPr>
        <w:t>processes</w:t>
      </w:r>
    </w:p>
    <w:p w14:paraId="09F2949B" w14:textId="5C3794C8" w:rsidR="00CC3726" w:rsidRDefault="00F722FC" w:rsidP="00930A3F">
      <w:pPr>
        <w:tabs>
          <w:tab w:val="right" w:pos="10512"/>
        </w:tabs>
        <w:spacing w:before="240"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D3556B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D61D6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256EC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1DE32B5E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  <w:r w:rsidR="00F7416A">
        <w:rPr>
          <w:rFonts w:ascii="Cambria" w:hAnsi="Cambria"/>
          <w:smallCaps/>
          <w:spacing w:val="40"/>
          <w:sz w:val="26"/>
          <w:szCs w:val="26"/>
        </w:rPr>
        <w:t xml:space="preserve"> &amp; Additional Information</w:t>
      </w:r>
    </w:p>
    <w:p w14:paraId="46FE1B5B" w14:textId="71FC0BD3" w:rsidR="009B0544" w:rsidRPr="009772A2" w:rsidRDefault="009B0544" w:rsidP="009B0544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  <w:bookmarkStart w:id="0" w:name="_GoBack"/>
      <w:bookmarkEnd w:id="0"/>
    </w:p>
    <w:p w14:paraId="1D6C5A5C" w14:textId="77777777" w:rsidR="009B0544" w:rsidRDefault="009B0544" w:rsidP="009B054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2FF0E140" w14:textId="6A2FCF0D" w:rsidR="009B0544" w:rsidRPr="009B0544" w:rsidRDefault="009B0544" w:rsidP="009B054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</w:t>
      </w:r>
      <w:r>
        <w:rPr>
          <w:rFonts w:ascii="Cambria" w:hAnsi="Cambria" w:cs="Segoe UI"/>
          <w:i/>
        </w:rPr>
        <w:t>”</w:t>
      </w:r>
    </w:p>
    <w:p w14:paraId="6A1B15C2" w14:textId="08D008DE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79E8914C" w14:textId="047F6428" w:rsidR="00995D47" w:rsidRPr="00995D47" w:rsidRDefault="002732F5" w:rsidP="00995D4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="00995D47" w:rsidRPr="00334B95">
        <w:rPr>
          <w:rFonts w:ascii="Cambria" w:hAnsi="Cambria" w:cs="Segoe UI"/>
          <w:i/>
        </w:rPr>
        <w:t>ocus on</w:t>
      </w:r>
      <w:r w:rsidR="00995D47">
        <w:rPr>
          <w:rFonts w:ascii="Cambria" w:hAnsi="Cambria" w:cs="Segoe UI"/>
          <w:i/>
        </w:rPr>
        <w:t xml:space="preserve"> </w:t>
      </w:r>
      <w:r w:rsidR="00995D47"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</w:t>
      </w:r>
      <w:r w:rsidR="00995D47">
        <w:rPr>
          <w:rFonts w:ascii="Cambria" w:hAnsi="Cambria" w:cs="Segoe UI"/>
          <w:i/>
        </w:rPr>
        <w:t>;</w:t>
      </w:r>
      <w:r w:rsidR="00995D47" w:rsidRPr="00334B95">
        <w:rPr>
          <w:rFonts w:ascii="Cambria" w:hAnsi="Cambria" w:cs="Segoe UI"/>
          <w:i/>
        </w:rPr>
        <w:t xml:space="preserve"> </w:t>
      </w:r>
      <w:r w:rsidR="00995D47">
        <w:rPr>
          <w:rFonts w:ascii="Cambria" w:hAnsi="Cambria" w:cs="Segoe UI"/>
          <w:i/>
        </w:rPr>
        <w:t>also devised and conducted</w:t>
      </w:r>
      <w:r w:rsidR="00995D47"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p w14:paraId="1CE88304" w14:textId="502D8DE7" w:rsidR="009772A2" w:rsidRPr="009772A2" w:rsidRDefault="009772A2" w:rsidP="00F7416A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hyperlink r:id="rId12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 w:rsidR="00F7416A"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 w:rsidR="00F7416A"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 and </w:t>
      </w:r>
      <w:hyperlink r:id="rId13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4AC6446F" w:rsidR="009772A2" w:rsidRPr="007C3DCC" w:rsidRDefault="009772A2" w:rsidP="00F7416A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 w:rsidR="00FA4356"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 w:rsidR="00FA4356"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 w:rsidR="00270576">
        <w:rPr>
          <w:rFonts w:ascii="Cambria" w:hAnsi="Cambria" w:cs="Segoe UI"/>
        </w:rPr>
        <w:t xml:space="preserve">organizational </w:t>
      </w:r>
      <w:r w:rsidR="005C594A">
        <w:rPr>
          <w:rFonts w:ascii="Cambria" w:hAnsi="Cambria" w:cs="Segoe UI"/>
        </w:rPr>
        <w:t>psychology</w:t>
      </w:r>
      <w:r w:rsidR="00FA4356">
        <w:rPr>
          <w:rFonts w:ascii="Cambria" w:hAnsi="Cambria" w:cs="Segoe UI"/>
        </w:rPr>
        <w:t>,</w:t>
      </w:r>
      <w:r w:rsidR="005C594A">
        <w:rPr>
          <w:rFonts w:ascii="Cambria" w:hAnsi="Cambria" w:cs="Segoe UI"/>
        </w:rPr>
        <w:t xml:space="preserve"> and </w:t>
      </w:r>
      <w:r w:rsidR="005653C8">
        <w:rPr>
          <w:rFonts w:ascii="Cambria" w:hAnsi="Cambria" w:cs="Segoe UI"/>
        </w:rPr>
        <w:t xml:space="preserve">counseling </w:t>
      </w:r>
      <w:r w:rsidR="00FA4356">
        <w:rPr>
          <w:rFonts w:ascii="Cambria" w:hAnsi="Cambria" w:cs="Segoe UI"/>
        </w:rPr>
        <w:t>therapy</w:t>
      </w:r>
    </w:p>
    <w:sectPr w:rsidR="009772A2" w:rsidRPr="007C3DCC" w:rsidSect="00E177C8">
      <w:headerReference w:type="default" r:id="rId14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520FB" w14:textId="77777777" w:rsidR="00AA248F" w:rsidRDefault="00AA248F" w:rsidP="00E7780A">
      <w:r>
        <w:separator/>
      </w:r>
    </w:p>
  </w:endnote>
  <w:endnote w:type="continuationSeparator" w:id="0">
    <w:p w14:paraId="6B35A1DA" w14:textId="77777777" w:rsidR="00AA248F" w:rsidRDefault="00AA248F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BFA39" w14:textId="77777777" w:rsidR="00AA248F" w:rsidRDefault="00AA248F" w:rsidP="00E7780A">
      <w:r>
        <w:separator/>
      </w:r>
    </w:p>
  </w:footnote>
  <w:footnote w:type="continuationSeparator" w:id="0">
    <w:p w14:paraId="253771C7" w14:textId="77777777" w:rsidR="00AA248F" w:rsidRDefault="00AA248F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A508B"/>
    <w:rsid w:val="000B1505"/>
    <w:rsid w:val="000B614A"/>
    <w:rsid w:val="000D2039"/>
    <w:rsid w:val="000D419E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5269"/>
    <w:rsid w:val="001C5A4A"/>
    <w:rsid w:val="001C773D"/>
    <w:rsid w:val="001D4D92"/>
    <w:rsid w:val="001D67D8"/>
    <w:rsid w:val="001E43EB"/>
    <w:rsid w:val="001F7D56"/>
    <w:rsid w:val="002038A4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736A"/>
    <w:rsid w:val="002A6121"/>
    <w:rsid w:val="002B0BB0"/>
    <w:rsid w:val="002B611C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F3E5E"/>
    <w:rsid w:val="002F7048"/>
    <w:rsid w:val="00303378"/>
    <w:rsid w:val="00310069"/>
    <w:rsid w:val="00312A4D"/>
    <w:rsid w:val="003242E6"/>
    <w:rsid w:val="00334B95"/>
    <w:rsid w:val="00337099"/>
    <w:rsid w:val="00360C56"/>
    <w:rsid w:val="00363A8E"/>
    <w:rsid w:val="00367801"/>
    <w:rsid w:val="00376525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3001"/>
    <w:rsid w:val="004D2F8E"/>
    <w:rsid w:val="004D7B16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559E"/>
    <w:rsid w:val="006C54C0"/>
    <w:rsid w:val="006C6589"/>
    <w:rsid w:val="006C7BAB"/>
    <w:rsid w:val="006D5D75"/>
    <w:rsid w:val="006D7BC6"/>
    <w:rsid w:val="006E6FAA"/>
    <w:rsid w:val="006F1ADA"/>
    <w:rsid w:val="006F7C66"/>
    <w:rsid w:val="00706E8E"/>
    <w:rsid w:val="007150BE"/>
    <w:rsid w:val="00724019"/>
    <w:rsid w:val="00736428"/>
    <w:rsid w:val="00736F0A"/>
    <w:rsid w:val="00737142"/>
    <w:rsid w:val="007470C3"/>
    <w:rsid w:val="00752396"/>
    <w:rsid w:val="007575F6"/>
    <w:rsid w:val="007705CD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1C26"/>
    <w:rsid w:val="007B6B58"/>
    <w:rsid w:val="007C1A67"/>
    <w:rsid w:val="007C2993"/>
    <w:rsid w:val="007C3DCC"/>
    <w:rsid w:val="007C4C86"/>
    <w:rsid w:val="007C518B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D174E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B10"/>
    <w:rsid w:val="00A2409B"/>
    <w:rsid w:val="00A30AE2"/>
    <w:rsid w:val="00A3672A"/>
    <w:rsid w:val="00A54F9D"/>
    <w:rsid w:val="00A619B3"/>
    <w:rsid w:val="00A64F41"/>
    <w:rsid w:val="00A67316"/>
    <w:rsid w:val="00A72689"/>
    <w:rsid w:val="00A816F0"/>
    <w:rsid w:val="00A90EE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5925"/>
    <w:rsid w:val="00C56988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40CBA"/>
    <w:rsid w:val="00D52F12"/>
    <w:rsid w:val="00D5619C"/>
    <w:rsid w:val="00D60CCD"/>
    <w:rsid w:val="00D61D63"/>
    <w:rsid w:val="00D63075"/>
    <w:rsid w:val="00D72111"/>
    <w:rsid w:val="00D8000C"/>
    <w:rsid w:val="00D811B2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7749"/>
    <w:rsid w:val="00F95424"/>
    <w:rsid w:val="00F95D87"/>
    <w:rsid w:val="00F96F1D"/>
    <w:rsid w:val="00F972DD"/>
    <w:rsid w:val="00FA4356"/>
    <w:rsid w:val="00FA5A6C"/>
    <w:rsid w:val="00FA68E0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olkon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edge.c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strong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stro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695B9-C11C-144F-8A18-B7E6D375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2019-03-19T22:16:00Z</dcterms:created>
  <dcterms:modified xsi:type="dcterms:W3CDTF">2019-03-19T22:16:00Z</dcterms:modified>
</cp:coreProperties>
</file>