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EEF"/>
          <w:sz w:val="64"/>
        </w:rPr>
        <w:t>NO SWEAT®</w:t>
      </w:r>
    </w:p>
    <w:p>
      <w:pPr>
        <w:jc w:val="center"/>
      </w:pPr>
      <w:r>
        <w:rPr>
          <w:b/>
          <w:sz w:val="36"/>
        </w:rPr>
        <w:t>MASTER WEBSITE REDESIGN + ENGINEERING BUILD SPECIFICATION</w:t>
      </w:r>
    </w:p>
    <w:p>
      <w:pPr>
        <w:jc w:val="center"/>
      </w:pPr>
      <w:r>
        <w:rPr>
          <w:i/>
        </w:rPr>
        <w:t>Replacement specification for nosweatseal.com • Version 2.0 • September 2026</w:t>
      </w:r>
    </w:p>
    <w:p/>
    <w:tbl>
      <w:tblPr>
        <w:tblW w:type="auto" w:w="0"/>
        <w:jc w:val="center"/>
        <w:tblLook w:firstColumn="1" w:firstRow="1" w:lastColumn="0" w:lastRow="0" w:noHBand="0" w:noVBand="1" w:val="04A0"/>
      </w:tblPr>
      <w:tblGrid>
        <w:gridCol w:w="10368"/>
      </w:tblGrid>
      <w:tr>
        <w:tc>
          <w:tcPr>
            <w:tcW w:type="dxa" w:w="10368"/>
            <w:shd w:fill="EAF8FF"/>
          </w:tcPr>
          <w:p>
            <w:r>
              <w:rPr>
                <w:b/>
                <w:sz w:val="22"/>
              </w:rPr>
              <w:t>DESIGN DIRECTION</w:t>
              <w:br/>
            </w:r>
            <w:r>
              <w:t>This is a complete rebuild, not a reskin. The new site should feel like a premium consumer technology launch: bold, clean, fast, visual, credible and conversion-driven. Use real No Sweat testing as the hero story. Avoid generic template aesthetics, excessive gradients, clutter, stock-looking science graphics, and unverified absolute performance claims.</w:t>
            </w:r>
          </w:p>
        </w:tc>
      </w:tr>
    </w:tbl>
    <w:p/>
    <w:p>
      <w:pPr>
        <w:pStyle w:val="Heading1"/>
      </w:pPr>
      <w:r>
        <w:t>1. Executive Objective</w:t>
      </w:r>
    </w:p>
    <w:p>
      <w:r>
        <w:t>Build a premium, mobile-first commerce website for No Sweat® that immediately communicates the problem, demonstrates the product, explains the technology without overclaiming, and converts both retail and commercial buyers. The existing site currently presents the product as a clear silica-based spray, uses a Spray → Bond → No Beads story, and lists plastic cups, glassware, tumblers, bar equipment, mirrors and windows as use cases. The rebuild should preserve only concepts that remain technically supported after current testing.</w:t>
      </w:r>
    </w:p>
    <w:p>
      <w:pPr>
        <w:pStyle w:val="ListBullet"/>
        <w:spacing w:after="40"/>
      </w:pPr>
      <w:r>
        <w:t>Primary conversion: Buy No Sweat®.</w:t>
      </w:r>
    </w:p>
    <w:p>
      <w:pPr>
        <w:pStyle w:val="ListBullet"/>
        <w:spacing w:after="40"/>
      </w:pPr>
      <w:r>
        <w:t>Secondary conversion: Commercial / wholesale inquiry.</w:t>
      </w:r>
    </w:p>
    <w:p>
      <w:pPr>
        <w:pStyle w:val="ListBullet"/>
        <w:spacing w:after="40"/>
      </w:pPr>
      <w:r>
        <w:t>Trust conversion: Watch real-world test, understand the mechanism, review directions and safety information.</w:t>
      </w:r>
    </w:p>
    <w:p>
      <w:pPr>
        <w:pStyle w:val="ListBullet"/>
        <w:spacing w:after="40"/>
      </w:pPr>
      <w:r>
        <w:t>Brand objective: Make No Sweat® look like a category-creating product rather than a generic coating.</w:t>
      </w:r>
    </w:p>
    <w:p>
      <w:pPr>
        <w:pStyle w:val="ListBullet"/>
        <w:spacing w:after="40"/>
      </w:pPr>
      <w:r>
        <w:t>Technical objective: Every performance claim must be controlled through CMS fields so wording can be updated as validation data improves.</w:t>
      </w:r>
    </w:p>
    <w:p>
      <w:pPr>
        <w:pStyle w:val="Heading1"/>
      </w:pPr>
      <w:r>
        <w:t>2. Critical Claim-Control Rule</w:t>
      </w:r>
    </w:p>
    <w:tbl>
      <w:tblPr>
        <w:tblW w:type="auto" w:w="0"/>
        <w:jc w:val="center"/>
        <w:tblLook w:firstColumn="1" w:firstRow="1" w:lastColumn="0" w:lastRow="0" w:noHBand="0" w:noVBand="1" w:val="04A0"/>
      </w:tblPr>
      <w:tblGrid>
        <w:gridCol w:w="10368"/>
      </w:tblGrid>
      <w:tr>
        <w:tc>
          <w:tcPr>
            <w:tcW w:type="dxa" w:w="10368"/>
            <w:shd w:fill="EAF8FF"/>
          </w:tcPr>
          <w:p>
            <w:r>
              <w:rPr>
                <w:b/>
                <w:sz w:val="22"/>
              </w:rPr>
              <w:t>DO NOT HARD-CODE UNVERIFIED CLAIMS</w:t>
              <w:br/>
            </w:r>
            <w:r>
              <w:t>Current prototype testing has shown that condensation can still occur under some conditions. Until controlled testing validates stronger claims, the production site must use qualified language such as “engineered to reduce condensation,” “helps reduce cup sweat,” or “designed to reduce exterior condensation.” Do not state “completely dry,” “prevents condensation from ever forming,” “food-safe,” “non-toxic,” “dishwasher safe,” specific durability periods, specific coverage counts, or quantified performance percentages unless those statements have been independently substantiated for the final commercial formulation.</w:t>
            </w:r>
          </w:p>
        </w:tc>
      </w:tr>
    </w:tbl>
    <w:p/>
    <w:p>
      <w:r>
        <w:t>The current live site contains several stronger statements that should be removed or converted to CMS-controlled approved claims before launch.</w:t>
      </w:r>
    </w:p>
    <w:p>
      <w:pPr>
        <w:pStyle w:val="Heading1"/>
      </w:pPr>
      <w:r>
        <w:t>3. Brand / Visual System</w:t>
      </w:r>
    </w:p>
    <w:tbl>
      <w:tblPr>
        <w:tblW w:type="auto" w:w="0"/>
        <w:jc w:val="center"/>
        <w:tblLook w:firstColumn="1" w:firstRow="1" w:lastColumn="0" w:lastRow="0" w:noHBand="0" w:noVBand="1" w:val="04A0"/>
      </w:tblPr>
      <w:tblGrid>
        <w:gridCol w:w="3456"/>
        <w:gridCol w:w="3456"/>
        <w:gridCol w:w="3456"/>
      </w:tblGrid>
      <w:tr>
        <w:tc>
          <w:tcPr>
            <w:tcW w:type="dxa" w:w="3456"/>
            <w:vAlign w:val="center"/>
            <w:shd w:fill="111827"/>
          </w:tcPr>
          <w:p>
            <w:r/>
            <w:r>
              <w:rPr>
                <w:b/>
                <w:color w:val="FFFFFF"/>
                <w:sz w:val="18"/>
              </w:rPr>
              <w:t>Element</w:t>
            </w:r>
          </w:p>
        </w:tc>
        <w:tc>
          <w:tcPr>
            <w:tcW w:type="dxa" w:w="3456"/>
            <w:vAlign w:val="center"/>
            <w:shd w:fill="111827"/>
          </w:tcPr>
          <w:p>
            <w:r/>
            <w:r>
              <w:rPr>
                <w:b/>
                <w:color w:val="FFFFFF"/>
                <w:sz w:val="18"/>
              </w:rPr>
              <w:t>Direction</w:t>
            </w:r>
          </w:p>
        </w:tc>
        <w:tc>
          <w:tcPr>
            <w:tcW w:type="dxa" w:w="3456"/>
            <w:vAlign w:val="center"/>
            <w:shd w:fill="111827"/>
          </w:tcPr>
          <w:p>
            <w:r/>
            <w:r>
              <w:rPr>
                <w:b/>
                <w:color w:val="FFFFFF"/>
                <w:sz w:val="18"/>
              </w:rPr>
              <w:t>Implementation</w:t>
            </w:r>
          </w:p>
        </w:tc>
      </w:tr>
      <w:tr>
        <w:tc>
          <w:tcPr>
            <w:tcW w:type="dxa" w:w="3456"/>
            <w:vAlign w:val="center"/>
          </w:tcPr>
          <w:p>
            <w:r/>
            <w:r>
              <w:rPr>
                <w:b w:val="0"/>
                <w:sz w:val="18"/>
              </w:rPr>
              <w:t>Overall feel</w:t>
            </w:r>
          </w:p>
        </w:tc>
        <w:tc>
          <w:tcPr>
            <w:tcW w:type="dxa" w:w="3456"/>
            <w:vAlign w:val="center"/>
          </w:tcPr>
          <w:p>
            <w:r/>
            <w:r>
              <w:rPr>
                <w:b w:val="0"/>
                <w:sz w:val="18"/>
              </w:rPr>
              <w:t>Premium product-tech; cold, crisp, confident</w:t>
            </w:r>
          </w:p>
        </w:tc>
        <w:tc>
          <w:tcPr>
            <w:tcW w:type="dxa" w:w="3456"/>
            <w:vAlign w:val="center"/>
          </w:tcPr>
          <w:p>
            <w:r/>
            <w:r>
              <w:rPr>
                <w:b w:val="0"/>
                <w:sz w:val="18"/>
              </w:rPr>
              <w:t>Think product launch + material science, not hardware-store chemical.</w:t>
            </w:r>
          </w:p>
        </w:tc>
      </w:tr>
      <w:tr>
        <w:tc>
          <w:tcPr>
            <w:tcW w:type="dxa" w:w="3456"/>
            <w:vAlign w:val="center"/>
          </w:tcPr>
          <w:p>
            <w:r/>
            <w:r>
              <w:rPr>
                <w:b w:val="0"/>
                <w:sz w:val="18"/>
              </w:rPr>
              <w:t>Primary palette</w:t>
            </w:r>
          </w:p>
        </w:tc>
        <w:tc>
          <w:tcPr>
            <w:tcW w:type="dxa" w:w="3456"/>
            <w:vAlign w:val="center"/>
          </w:tcPr>
          <w:p>
            <w:r/>
            <w:r>
              <w:rPr>
                <w:b w:val="0"/>
                <w:sz w:val="18"/>
              </w:rPr>
              <w:t>Near-black / deep graphite + ice white + electric cyan</w:t>
            </w:r>
          </w:p>
        </w:tc>
        <w:tc>
          <w:tcPr>
            <w:tcW w:type="dxa" w:w="3456"/>
            <w:vAlign w:val="center"/>
          </w:tcPr>
          <w:p>
            <w:r/>
            <w:r>
              <w:rPr>
                <w:b w:val="0"/>
                <w:sz w:val="18"/>
              </w:rPr>
              <w:t>Dark hero sections with bright product and condensation highlights.</w:t>
            </w:r>
          </w:p>
        </w:tc>
      </w:tr>
      <w:tr>
        <w:tc>
          <w:tcPr>
            <w:tcW w:type="dxa" w:w="3456"/>
            <w:vAlign w:val="center"/>
          </w:tcPr>
          <w:p>
            <w:r/>
            <w:r>
              <w:rPr>
                <w:b w:val="0"/>
                <w:sz w:val="18"/>
              </w:rPr>
              <w:t>Accent</w:t>
            </w:r>
          </w:p>
        </w:tc>
        <w:tc>
          <w:tcPr>
            <w:tcW w:type="dxa" w:w="3456"/>
            <w:vAlign w:val="center"/>
          </w:tcPr>
          <w:p>
            <w:r/>
            <w:r>
              <w:rPr>
                <w:b w:val="0"/>
                <w:sz w:val="18"/>
              </w:rPr>
              <w:t>Metallic silver / frost</w:t>
            </w:r>
          </w:p>
        </w:tc>
        <w:tc>
          <w:tcPr>
            <w:tcW w:type="dxa" w:w="3456"/>
            <w:vAlign w:val="center"/>
          </w:tcPr>
          <w:p>
            <w:r/>
            <w:r>
              <w:rPr>
                <w:b w:val="0"/>
                <w:sz w:val="18"/>
              </w:rPr>
              <w:t>Use sparingly for borders, technical diagrams and section separators.</w:t>
            </w:r>
          </w:p>
        </w:tc>
      </w:tr>
      <w:tr>
        <w:tc>
          <w:tcPr>
            <w:tcW w:type="dxa" w:w="3456"/>
            <w:vAlign w:val="center"/>
          </w:tcPr>
          <w:p>
            <w:r/>
            <w:r>
              <w:rPr>
                <w:b w:val="0"/>
                <w:sz w:val="18"/>
              </w:rPr>
              <w:t>Typography</w:t>
            </w:r>
          </w:p>
        </w:tc>
        <w:tc>
          <w:tcPr>
            <w:tcW w:type="dxa" w:w="3456"/>
            <w:vAlign w:val="center"/>
          </w:tcPr>
          <w:p>
            <w:r/>
            <w:r>
              <w:rPr>
                <w:b w:val="0"/>
                <w:sz w:val="18"/>
              </w:rPr>
              <w:t>Strong geometric sans + highly readable body</w:t>
            </w:r>
          </w:p>
        </w:tc>
        <w:tc>
          <w:tcPr>
            <w:tcW w:type="dxa" w:w="3456"/>
            <w:vAlign w:val="center"/>
          </w:tcPr>
          <w:p>
            <w:r/>
            <w:r>
              <w:rPr>
                <w:b w:val="0"/>
                <w:sz w:val="18"/>
              </w:rPr>
              <w:t>Suggested: Space Grotesk/Inter or equivalent; self-host only if licensing allows.</w:t>
            </w:r>
          </w:p>
        </w:tc>
      </w:tr>
      <w:tr>
        <w:tc>
          <w:tcPr>
            <w:tcW w:type="dxa" w:w="3456"/>
            <w:vAlign w:val="center"/>
          </w:tcPr>
          <w:p>
            <w:r/>
            <w:r>
              <w:rPr>
                <w:b w:val="0"/>
                <w:sz w:val="18"/>
              </w:rPr>
              <w:t>Photography</w:t>
            </w:r>
          </w:p>
        </w:tc>
        <w:tc>
          <w:tcPr>
            <w:tcW w:type="dxa" w:w="3456"/>
            <w:vAlign w:val="center"/>
          </w:tcPr>
          <w:p>
            <w:r/>
            <w:r>
              <w:rPr>
                <w:b w:val="0"/>
                <w:sz w:val="18"/>
              </w:rPr>
              <w:t>Macro condensation, cold cups, real counters/desks, product application</w:t>
            </w:r>
          </w:p>
        </w:tc>
        <w:tc>
          <w:tcPr>
            <w:tcW w:type="dxa" w:w="3456"/>
            <w:vAlign w:val="center"/>
          </w:tcPr>
          <w:p>
            <w:r/>
            <w:r>
              <w:rPr>
                <w:b w:val="0"/>
                <w:sz w:val="18"/>
              </w:rPr>
              <w:t>Prioritize original test photography over generic stock.</w:t>
            </w:r>
          </w:p>
        </w:tc>
      </w:tr>
      <w:tr>
        <w:tc>
          <w:tcPr>
            <w:tcW w:type="dxa" w:w="3456"/>
            <w:vAlign w:val="center"/>
          </w:tcPr>
          <w:p>
            <w:r/>
            <w:r>
              <w:rPr>
                <w:b w:val="0"/>
                <w:sz w:val="18"/>
              </w:rPr>
              <w:t>Motion</w:t>
            </w:r>
          </w:p>
        </w:tc>
        <w:tc>
          <w:tcPr>
            <w:tcW w:type="dxa" w:w="3456"/>
            <w:vAlign w:val="center"/>
          </w:tcPr>
          <w:p>
            <w:r/>
            <w:r>
              <w:rPr>
                <w:b w:val="0"/>
                <w:sz w:val="18"/>
              </w:rPr>
              <w:t>Controlled and purposeful</w:t>
            </w:r>
          </w:p>
        </w:tc>
        <w:tc>
          <w:tcPr>
            <w:tcW w:type="dxa" w:w="3456"/>
            <w:vAlign w:val="center"/>
          </w:tcPr>
          <w:p>
            <w:r/>
            <w:r>
              <w:rPr>
                <w:b w:val="0"/>
                <w:sz w:val="18"/>
              </w:rPr>
              <w:t>Condensation time-lapse, before/after wipe, spray pass, subtle parallax; honor reduced-motion.</w:t>
            </w:r>
          </w:p>
        </w:tc>
      </w:tr>
      <w:tr>
        <w:tc>
          <w:tcPr>
            <w:tcW w:type="dxa" w:w="3456"/>
            <w:vAlign w:val="center"/>
          </w:tcPr>
          <w:p>
            <w:r/>
            <w:r>
              <w:rPr>
                <w:b w:val="0"/>
                <w:sz w:val="18"/>
              </w:rPr>
              <w:t>Corners</w:t>
            </w:r>
          </w:p>
        </w:tc>
        <w:tc>
          <w:tcPr>
            <w:tcW w:type="dxa" w:w="3456"/>
            <w:vAlign w:val="center"/>
          </w:tcPr>
          <w:p>
            <w:r/>
            <w:r>
              <w:rPr>
                <w:b w:val="0"/>
                <w:sz w:val="18"/>
              </w:rPr>
              <w:t>Moderately rounded</w:t>
            </w:r>
          </w:p>
        </w:tc>
        <w:tc>
          <w:tcPr>
            <w:tcW w:type="dxa" w:w="3456"/>
            <w:vAlign w:val="center"/>
          </w:tcPr>
          <w:p>
            <w:r/>
            <w:r>
              <w:rPr>
                <w:b w:val="0"/>
                <w:sz w:val="18"/>
              </w:rPr>
              <w:t>12–18px cards; avoid bubbly app-like UI.</w:t>
            </w:r>
          </w:p>
        </w:tc>
      </w:tr>
      <w:tr>
        <w:tc>
          <w:tcPr>
            <w:tcW w:type="dxa" w:w="3456"/>
            <w:vAlign w:val="center"/>
          </w:tcPr>
          <w:p>
            <w:r/>
            <w:r>
              <w:rPr>
                <w:b w:val="0"/>
                <w:sz w:val="18"/>
              </w:rPr>
              <w:t>Iconography</w:t>
            </w:r>
          </w:p>
        </w:tc>
        <w:tc>
          <w:tcPr>
            <w:tcW w:type="dxa" w:w="3456"/>
            <w:vAlign w:val="center"/>
          </w:tcPr>
          <w:p>
            <w:r/>
            <w:r>
              <w:rPr>
                <w:b w:val="0"/>
                <w:sz w:val="18"/>
              </w:rPr>
              <w:t>Minimal line icons</w:t>
            </w:r>
          </w:p>
        </w:tc>
        <w:tc>
          <w:tcPr>
            <w:tcW w:type="dxa" w:w="3456"/>
            <w:vAlign w:val="center"/>
          </w:tcPr>
          <w:p>
            <w:r/>
            <w:r>
              <w:rPr>
                <w:b w:val="0"/>
                <w:sz w:val="18"/>
              </w:rPr>
              <w:t>Consistent 1.5–2px stroke; no mixed icon packs.</w:t>
            </w:r>
          </w:p>
        </w:tc>
      </w:tr>
    </w:tbl>
    <w:p>
      <w:pPr>
        <w:pStyle w:val="Heading1"/>
      </w:pPr>
      <w:r>
        <w:t>4. Global Navigation</w:t>
      </w:r>
    </w:p>
    <w:p>
      <w:pPr>
        <w:pStyle w:val="ListBullet"/>
        <w:spacing w:after="40"/>
      </w:pPr>
      <w:r>
        <w:t>Sticky header: No Sweat® logo | How It Works | Testing | Applications | Shop | Commercial | FAQ | prominent “Buy No Sweat” button.</w:t>
      </w:r>
    </w:p>
    <w:p>
      <w:pPr>
        <w:pStyle w:val="ListBullet"/>
        <w:spacing w:after="40"/>
      </w:pPr>
      <w:r>
        <w:t>Mobile: compact logo, cart icon, hamburger; Buy button remains visible or appears in sticky bottom purchase bar.</w:t>
      </w:r>
    </w:p>
    <w:p>
      <w:pPr>
        <w:pStyle w:val="ListBullet"/>
        <w:spacing w:after="40"/>
      </w:pPr>
      <w:r>
        <w:t>Announcement bar (CMS-controlled): shipping offer, launch status, or test-program message.</w:t>
      </w:r>
    </w:p>
    <w:p>
      <w:pPr>
        <w:pStyle w:val="ListBullet"/>
        <w:spacing w:after="40"/>
      </w:pPr>
      <w:r>
        <w:t>Cart drawer should open without navigating away from the page.</w:t>
      </w:r>
    </w:p>
    <w:p>
      <w:pPr>
        <w:pStyle w:val="Heading1"/>
      </w:pPr>
      <w:r>
        <w:t>5. Homepage — Exact Section Order</w:t>
      </w:r>
    </w:p>
    <w:p>
      <w:pPr>
        <w:pStyle w:val="Heading2"/>
      </w:pPr>
      <w:r>
        <w:t>01 — HERO: “THE END OF CUP SWEAT.”</w:t>
      </w:r>
    </w:p>
    <w:p>
      <w:r>
        <w:t>Full-viewport cinematic hero. Left: concise headline and copy. Right/background: extreme macro shot or short loop of a cold cup with visible condensation on untreated side and a visually drier treated comparison. Primary CTA: SHOP NO SWEAT. Secondary: WATCH THE TEST. Small trust line: “Developed to reduce exterior condensation on cold drinkware.”</w:t>
      </w:r>
    </w:p>
    <w:p>
      <w:pPr>
        <w:pStyle w:val="Heading2"/>
      </w:pPr>
      <w:r>
        <w:t>02 — THE PROBLEM</w:t>
      </w:r>
    </w:p>
    <w:p>
      <w:r>
        <w:t>Use the dramatic wet wooden-desk visual: sweating iced drink, water ring, papers/electronics nearby. Large statement: “Cold drinks shouldn’t leave a puddle behind.” Three compact consequences: wet hands; soaked cupholders/desks; water rings and cleanup.</w:t>
      </w:r>
    </w:p>
    <w:p>
      <w:pPr>
        <w:pStyle w:val="Heading2"/>
      </w:pPr>
      <w:r>
        <w:t>03 — REAL TEST / PROOF</w:t>
      </w:r>
    </w:p>
    <w:p>
      <w:r>
        <w:t>Feature current real-world testing prominently. Use a video or image slider showing untreated control vs treated cup under identical conditions. Include test conditions (ambient temperature, relative humidity, beverage/ice temperature, elapsed time) whenever available. Never use simulated visuals as proof without labeling them as illustrations.</w:t>
      </w:r>
    </w:p>
    <w:p>
      <w:pPr>
        <w:pStyle w:val="Heading2"/>
      </w:pPr>
      <w:r>
        <w:t>04 — HOW IT WORKS</w:t>
      </w:r>
    </w:p>
    <w:p>
      <w:r>
        <w:t>Three-stage visual: PREP → APPLY → CURE. Separate the product’s application process from its technical mechanism. Mechanism copy should say the coating is engineered to create a thin functional layer that changes heat/moisture behavior at the exterior surface; final wording remains CMS-controlled pending validation.</w:t>
      </w:r>
    </w:p>
    <w:p>
      <w:pPr>
        <w:pStyle w:val="Heading2"/>
      </w:pPr>
      <w:r>
        <w:t>05 — PRODUCT HERO / BUY</w:t>
      </w:r>
    </w:p>
    <w:p>
      <w:r>
        <w:t>Premium bottle render plus size selector. Cards: 4 oz / 16 oz / 1 gallon. Pricing, quantity, Add to Cart, shipping estimate, directions link, SDS link. Do not display invented coverage numbers.</w:t>
      </w:r>
    </w:p>
    <w:p>
      <w:pPr>
        <w:pStyle w:val="Heading2"/>
      </w:pPr>
      <w:r>
        <w:t>06 — BEFORE / AFTER INTERACTIVE</w:t>
      </w:r>
    </w:p>
    <w:p>
      <w:r>
        <w:t>Desktop: draggable vertical comparison slider. Mobile: tap toggle. Same cup, same environment, same elapsed time. Include clear labels “UNTREATED” and “NO SWEAT TEST.”</w:t>
      </w:r>
    </w:p>
    <w:p>
      <w:pPr>
        <w:pStyle w:val="Heading2"/>
      </w:pPr>
      <w:r>
        <w:t>07 — WHY NO SWEAT</w:t>
      </w:r>
    </w:p>
    <w:p>
      <w:r>
        <w:t>Four benefit cards: Less condensation; Cleaner surfaces; Clear application; Built for cold-drink environments. Keep claims conservative until validated.</w:t>
      </w:r>
    </w:p>
    <w:p>
      <w:pPr>
        <w:pStyle w:val="Heading2"/>
      </w:pPr>
      <w:r>
        <w:t>08 — APPLICATIONS</w:t>
      </w:r>
    </w:p>
    <w:p>
      <w:r>
        <w:t>Prioritize cups and drinkware first: disposable plastic cups, reusable tumblers, glassware, stainless drinkware, beverage-service equipment. Put mirrors/windows in an “Additional applications under evaluation” area unless separately tested.</w:t>
      </w:r>
    </w:p>
    <w:p>
      <w:pPr>
        <w:pStyle w:val="Heading2"/>
      </w:pPr>
      <w:r>
        <w:t>09 — SCIENCE / DEVELOPMENT</w:t>
      </w:r>
    </w:p>
    <w:p>
      <w:r>
        <w:t>Dark technical section with clean cross-section animation. Explain dew point in plain language: condensation forms when a surface falls below the dew point of surrounding air. Position No Sweat as being engineered to reduce that condensation challenge. Include a “See our testing” link rather than unsupported molecular claims.</w:t>
      </w:r>
    </w:p>
    <w:p>
      <w:pPr>
        <w:pStyle w:val="Heading2"/>
      </w:pPr>
      <w:r>
        <w:t>10 — COMMERCIAL</w:t>
      </w:r>
    </w:p>
    <w:p>
      <w:r>
        <w:t>Restaurant/café/bar/event visual. Headline: “Built for more than one cup.” CTA: Commercial &amp; Wholesale. Form captures business, contact, industry, estimated monthly volume, desired size, message.</w:t>
      </w:r>
    </w:p>
    <w:p>
      <w:pPr>
        <w:pStyle w:val="Heading2"/>
      </w:pPr>
      <w:r>
        <w:t>11 — FAQ</w:t>
      </w:r>
    </w:p>
    <w:p>
      <w:r>
        <w:t>Accordion with approved answers only. Key topics: what it is, how to apply, surfaces, cure time, storage, removal, commercial use, safety documents, testing status.</w:t>
      </w:r>
    </w:p>
    <w:p>
      <w:pPr>
        <w:pStyle w:val="Heading2"/>
      </w:pPr>
      <w:r>
        <w:t>12 — FINAL CTA</w:t>
      </w:r>
    </w:p>
    <w:p>
      <w:r>
        <w:t>Large product image on dark background. “Stop living with the drip.” Buttons: Shop No Sweat | Commercial Inquiry.</w:t>
      </w:r>
    </w:p>
    <w:p>
      <w:pPr>
        <w:pStyle w:val="Heading2"/>
      </w:pPr>
      <w:r>
        <w:t>13 — FOOTER</w:t>
      </w:r>
    </w:p>
    <w:p>
      <w:r>
        <w:t>Logo, Shop, How It Works, Testing, FAQ, Contact, Wholesale, SDS, Privacy, Terms, Returns/Shipping, social links, Se7en family attribution.</w:t>
      </w:r>
    </w:p>
    <w:p>
      <w:pPr>
        <w:pStyle w:val="Heading1"/>
      </w:pPr>
      <w:r>
        <w:t>6. Product / Cart Experience</w:t>
      </w:r>
    </w:p>
    <w:tbl>
      <w:tblPr>
        <w:tblW w:type="auto" w:w="0"/>
        <w:tblLook w:firstColumn="1" w:firstRow="1" w:lastColumn="0" w:lastRow="0" w:noHBand="0" w:noVBand="1" w:val="04A0"/>
      </w:tblPr>
      <w:tblGrid>
        <w:gridCol w:w="2592"/>
        <w:gridCol w:w="2592"/>
        <w:gridCol w:w="2592"/>
        <w:gridCol w:w="2592"/>
      </w:tblGrid>
      <w:tr>
        <w:tc>
          <w:tcPr>
            <w:tcW w:type="dxa" w:w="2592"/>
            <w:vAlign w:val="center"/>
            <w:shd w:fill="111827"/>
          </w:tcPr>
          <w:p>
            <w:r/>
            <w:r>
              <w:rPr>
                <w:b/>
                <w:color w:val="FFFFFF"/>
                <w:sz w:val="18"/>
              </w:rPr>
              <w:t>Variant</w:t>
            </w:r>
          </w:p>
        </w:tc>
        <w:tc>
          <w:tcPr>
            <w:tcW w:type="dxa" w:w="2592"/>
            <w:vAlign w:val="center"/>
            <w:shd w:fill="111827"/>
          </w:tcPr>
          <w:p>
            <w:r/>
            <w:r>
              <w:rPr>
                <w:b/>
                <w:color w:val="FFFFFF"/>
                <w:sz w:val="18"/>
              </w:rPr>
              <w:t>Display Name</w:t>
            </w:r>
          </w:p>
        </w:tc>
        <w:tc>
          <w:tcPr>
            <w:tcW w:type="dxa" w:w="2592"/>
            <w:vAlign w:val="center"/>
            <w:shd w:fill="111827"/>
          </w:tcPr>
          <w:p>
            <w:r/>
            <w:r>
              <w:rPr>
                <w:b/>
                <w:color w:val="FFFFFF"/>
                <w:sz w:val="18"/>
              </w:rPr>
              <w:t>Working Retail Price</w:t>
            </w:r>
          </w:p>
        </w:tc>
        <w:tc>
          <w:tcPr>
            <w:tcW w:type="dxa" w:w="2592"/>
            <w:vAlign w:val="center"/>
            <w:shd w:fill="111827"/>
          </w:tcPr>
          <w:p>
            <w:r/>
            <w:r>
              <w:rPr>
                <w:b/>
                <w:color w:val="FFFFFF"/>
                <w:sz w:val="18"/>
              </w:rPr>
              <w:t>UX Treatment</w:t>
            </w:r>
          </w:p>
        </w:tc>
      </w:tr>
      <w:tr>
        <w:tc>
          <w:tcPr>
            <w:tcW w:type="dxa" w:w="2592"/>
            <w:vAlign w:val="center"/>
          </w:tcPr>
          <w:p>
            <w:r/>
            <w:r>
              <w:rPr>
                <w:b w:val="0"/>
                <w:sz w:val="18"/>
              </w:rPr>
              <w:t>4 oz</w:t>
            </w:r>
          </w:p>
        </w:tc>
        <w:tc>
          <w:tcPr>
            <w:tcW w:type="dxa" w:w="2592"/>
            <w:vAlign w:val="center"/>
          </w:tcPr>
          <w:p>
            <w:r/>
            <w:r>
              <w:rPr>
                <w:b w:val="0"/>
                <w:sz w:val="18"/>
              </w:rPr>
              <w:t>No Sweat® 4 oz Spray</w:t>
            </w:r>
          </w:p>
        </w:tc>
        <w:tc>
          <w:tcPr>
            <w:tcW w:type="dxa" w:w="2592"/>
            <w:vAlign w:val="center"/>
          </w:tcPr>
          <w:p>
            <w:r/>
            <w:r>
              <w:rPr>
                <w:b w:val="0"/>
                <w:sz w:val="18"/>
              </w:rPr>
              <w:t>$14.99</w:t>
            </w:r>
          </w:p>
        </w:tc>
        <w:tc>
          <w:tcPr>
            <w:tcW w:type="dxa" w:w="2592"/>
            <w:vAlign w:val="center"/>
          </w:tcPr>
          <w:p>
            <w:r/>
            <w:r>
              <w:rPr>
                <w:b w:val="0"/>
                <w:sz w:val="18"/>
              </w:rPr>
              <w:t>Default consumer entry size.</w:t>
            </w:r>
          </w:p>
        </w:tc>
      </w:tr>
      <w:tr>
        <w:tc>
          <w:tcPr>
            <w:tcW w:type="dxa" w:w="2592"/>
            <w:vAlign w:val="center"/>
          </w:tcPr>
          <w:p>
            <w:r/>
            <w:r>
              <w:rPr>
                <w:b w:val="0"/>
                <w:sz w:val="18"/>
              </w:rPr>
              <w:t>16 oz</w:t>
            </w:r>
          </w:p>
        </w:tc>
        <w:tc>
          <w:tcPr>
            <w:tcW w:type="dxa" w:w="2592"/>
            <w:vAlign w:val="center"/>
          </w:tcPr>
          <w:p>
            <w:r/>
            <w:r>
              <w:rPr>
                <w:b w:val="0"/>
                <w:sz w:val="18"/>
              </w:rPr>
              <w:t>No Sweat® 16 oz Refill</w:t>
            </w:r>
          </w:p>
        </w:tc>
        <w:tc>
          <w:tcPr>
            <w:tcW w:type="dxa" w:w="2592"/>
            <w:vAlign w:val="center"/>
          </w:tcPr>
          <w:p>
            <w:r/>
            <w:r>
              <w:rPr>
                <w:b w:val="0"/>
                <w:sz w:val="18"/>
              </w:rPr>
              <w:t>$34.99</w:t>
            </w:r>
          </w:p>
        </w:tc>
        <w:tc>
          <w:tcPr>
            <w:tcW w:type="dxa" w:w="2592"/>
            <w:vAlign w:val="center"/>
          </w:tcPr>
          <w:p>
            <w:r/>
            <w:r>
              <w:rPr>
                <w:b w:val="0"/>
                <w:sz w:val="18"/>
              </w:rPr>
              <w:t>Mark as Best Value only after economics are confirmed.</w:t>
            </w:r>
          </w:p>
        </w:tc>
      </w:tr>
      <w:tr>
        <w:tc>
          <w:tcPr>
            <w:tcW w:type="dxa" w:w="2592"/>
            <w:vAlign w:val="center"/>
          </w:tcPr>
          <w:p>
            <w:r/>
            <w:r>
              <w:rPr>
                <w:b w:val="0"/>
                <w:sz w:val="18"/>
              </w:rPr>
              <w:t>1 gallon</w:t>
            </w:r>
          </w:p>
        </w:tc>
        <w:tc>
          <w:tcPr>
            <w:tcW w:type="dxa" w:w="2592"/>
            <w:vAlign w:val="center"/>
          </w:tcPr>
          <w:p>
            <w:r/>
            <w:r>
              <w:rPr>
                <w:b w:val="0"/>
                <w:sz w:val="18"/>
              </w:rPr>
              <w:t>No Sweat® Commercial Gallon</w:t>
            </w:r>
          </w:p>
        </w:tc>
        <w:tc>
          <w:tcPr>
            <w:tcW w:type="dxa" w:w="2592"/>
            <w:vAlign w:val="center"/>
          </w:tcPr>
          <w:p>
            <w:r/>
            <w:r>
              <w:rPr>
                <w:b w:val="0"/>
                <w:sz w:val="18"/>
              </w:rPr>
              <w:t>$149.00</w:t>
            </w:r>
          </w:p>
        </w:tc>
        <w:tc>
          <w:tcPr>
            <w:tcW w:type="dxa" w:w="2592"/>
            <w:vAlign w:val="center"/>
          </w:tcPr>
          <w:p>
            <w:r/>
            <w:r>
              <w:rPr>
                <w:b w:val="0"/>
                <w:sz w:val="18"/>
              </w:rPr>
              <w:t>Commercial callout; allow quantity pricing later.</w:t>
            </w:r>
          </w:p>
        </w:tc>
      </w:tr>
    </w:tbl>
    <w:p>
      <w:r>
        <w:t>Prices above are current working merchandising prices and must be editable in the commerce backend; they are not hard-coded into page templates.</w:t>
      </w:r>
    </w:p>
    <w:p>
      <w:pPr>
        <w:pStyle w:val="ListBullet"/>
        <w:spacing w:after="40"/>
      </w:pPr>
      <w:r>
        <w:t>Variant switch updates price, image, SKU, shipping weight and inventory.</w:t>
      </w:r>
    </w:p>
    <w:p>
      <w:pPr>
        <w:pStyle w:val="ListBullet"/>
        <w:spacing w:after="40"/>
      </w:pPr>
      <w:r>
        <w:t>Cart drawer: thumbnail, size, quantity stepper, subtotal, checkout CTA.</w:t>
      </w:r>
    </w:p>
    <w:p>
      <w:pPr>
        <w:pStyle w:val="ListBullet"/>
        <w:spacing w:after="40"/>
      </w:pPr>
      <w:r>
        <w:t>Support Apple Pay / Google Pay / major cards where payment provider permits.</w:t>
      </w:r>
    </w:p>
    <w:p>
      <w:pPr>
        <w:pStyle w:val="ListBullet"/>
        <w:spacing w:after="40"/>
      </w:pPr>
      <w:r>
        <w:t>Optional subscription must remain disabled until actual replenishment cadence is known.</w:t>
      </w:r>
    </w:p>
    <w:p>
      <w:pPr>
        <w:pStyle w:val="ListBullet"/>
        <w:spacing w:after="40"/>
      </w:pPr>
      <w:r>
        <w:t>Product page must expose Directions and SDS downloads adjacent to purchase information.</w:t>
      </w:r>
    </w:p>
    <w:p>
      <w:pPr>
        <w:pStyle w:val="ListBullet"/>
        <w:spacing w:after="40"/>
      </w:pPr>
      <w:r>
        <w:t>Add structured Product/Offer schema and accurate availability status.</w:t>
      </w:r>
    </w:p>
    <w:p>
      <w:pPr>
        <w:pStyle w:val="Heading1"/>
      </w:pPr>
      <w:r>
        <w:t>7. Required Pages / Routes</w:t>
      </w:r>
    </w:p>
    <w:p>
      <w:pPr>
        <w:pStyle w:val="ListBullet"/>
        <w:spacing w:after="40"/>
      </w:pPr>
      <w:r>
        <w:t>/ — Homepage</w:t>
      </w:r>
    </w:p>
    <w:p>
      <w:pPr>
        <w:pStyle w:val="ListBullet"/>
        <w:spacing w:after="40"/>
      </w:pPr>
      <w:r>
        <w:t>/shop — Product collection / size selection</w:t>
      </w:r>
    </w:p>
    <w:p>
      <w:pPr>
        <w:pStyle w:val="ListBullet"/>
        <w:spacing w:after="40"/>
      </w:pPr>
      <w:r>
        <w:t>/products/no-sweat — Main PDP</w:t>
      </w:r>
    </w:p>
    <w:p>
      <w:pPr>
        <w:pStyle w:val="ListBullet"/>
        <w:spacing w:after="40"/>
      </w:pPr>
      <w:r>
        <w:t>/how-it-works — application + technical explanation</w:t>
      </w:r>
    </w:p>
    <w:p>
      <w:pPr>
        <w:pStyle w:val="ListBullet"/>
        <w:spacing w:after="40"/>
      </w:pPr>
      <w:r>
        <w:t>/testing — controlled tests, methodology, photos/videos and revisions</w:t>
      </w:r>
    </w:p>
    <w:p>
      <w:pPr>
        <w:pStyle w:val="ListBullet"/>
        <w:spacing w:after="40"/>
      </w:pPr>
      <w:r>
        <w:t>/commercial — wholesale/commercial landing page + inquiry</w:t>
      </w:r>
    </w:p>
    <w:p>
      <w:pPr>
        <w:pStyle w:val="ListBullet"/>
        <w:spacing w:after="40"/>
      </w:pPr>
      <w:r>
        <w:t>/faq — searchable FAQ</w:t>
      </w:r>
    </w:p>
    <w:p>
      <w:pPr>
        <w:pStyle w:val="ListBullet"/>
        <w:spacing w:after="40"/>
      </w:pPr>
      <w:r>
        <w:t>/safety — SDS, directions, handling information</w:t>
      </w:r>
    </w:p>
    <w:p>
      <w:pPr>
        <w:pStyle w:val="ListBullet"/>
        <w:spacing w:after="40"/>
      </w:pPr>
      <w:r>
        <w:t>/about — product story / Se7en connection</w:t>
      </w:r>
    </w:p>
    <w:p>
      <w:pPr>
        <w:pStyle w:val="ListBullet"/>
        <w:spacing w:after="40"/>
      </w:pPr>
      <w:r>
        <w:t>/contact — support/contact</w:t>
      </w:r>
    </w:p>
    <w:p>
      <w:pPr>
        <w:pStyle w:val="ListBullet"/>
        <w:spacing w:after="40"/>
      </w:pPr>
      <w:r>
        <w:t>/shipping-returns, /privacy, /terms — policy pages</w:t>
      </w:r>
    </w:p>
    <w:p>
      <w:pPr>
        <w:pStyle w:val="Heading1"/>
      </w:pPr>
      <w:r>
        <w:t>8. Copy Framework</w:t>
      </w:r>
    </w:p>
    <w:tbl>
      <w:tblPr>
        <w:tblW w:type="auto" w:w="0"/>
        <w:tblLook w:firstColumn="1" w:firstRow="1" w:lastColumn="0" w:lastRow="0" w:noHBand="0" w:noVBand="1" w:val="04A0"/>
      </w:tblPr>
      <w:tblGrid>
        <w:gridCol w:w="5184"/>
        <w:gridCol w:w="5184"/>
      </w:tblGrid>
      <w:tr>
        <w:tc>
          <w:tcPr>
            <w:tcW w:type="dxa" w:w="5184"/>
            <w:vAlign w:val="center"/>
            <w:shd w:fill="111827"/>
          </w:tcPr>
          <w:p>
            <w:r/>
            <w:r>
              <w:rPr>
                <w:b/>
                <w:color w:val="FFFFFF"/>
                <w:sz w:val="18"/>
              </w:rPr>
              <w:t>Placement</w:t>
            </w:r>
          </w:p>
        </w:tc>
        <w:tc>
          <w:tcPr>
            <w:tcW w:type="dxa" w:w="5184"/>
            <w:vAlign w:val="center"/>
            <w:shd w:fill="111827"/>
          </w:tcPr>
          <w:p>
            <w:r/>
            <w:r>
              <w:rPr>
                <w:b/>
                <w:color w:val="FFFFFF"/>
                <w:sz w:val="18"/>
              </w:rPr>
              <w:t>Approved Working Copy</w:t>
            </w:r>
          </w:p>
        </w:tc>
      </w:tr>
      <w:tr>
        <w:tc>
          <w:tcPr>
            <w:tcW w:type="dxa" w:w="5184"/>
            <w:vAlign w:val="center"/>
          </w:tcPr>
          <w:p>
            <w:r/>
            <w:r>
              <w:rPr>
                <w:b w:val="0"/>
                <w:sz w:val="18"/>
              </w:rPr>
              <w:t>Primary headline</w:t>
            </w:r>
          </w:p>
        </w:tc>
        <w:tc>
          <w:tcPr>
            <w:tcW w:type="dxa" w:w="5184"/>
            <w:vAlign w:val="center"/>
          </w:tcPr>
          <w:p>
            <w:r/>
            <w:r>
              <w:rPr>
                <w:b w:val="0"/>
                <w:sz w:val="18"/>
              </w:rPr>
              <w:t>THE END OF CUP SWEAT.</w:t>
            </w:r>
          </w:p>
        </w:tc>
      </w:tr>
      <w:tr>
        <w:tc>
          <w:tcPr>
            <w:tcW w:type="dxa" w:w="5184"/>
            <w:vAlign w:val="center"/>
          </w:tcPr>
          <w:p>
            <w:r/>
            <w:r>
              <w:rPr>
                <w:b w:val="0"/>
                <w:sz w:val="18"/>
              </w:rPr>
              <w:t>Primary subhead</w:t>
            </w:r>
          </w:p>
        </w:tc>
        <w:tc>
          <w:tcPr>
            <w:tcW w:type="dxa" w:w="5184"/>
            <w:vAlign w:val="center"/>
          </w:tcPr>
          <w:p>
            <w:r/>
            <w:r>
              <w:rPr>
                <w:b w:val="0"/>
                <w:sz w:val="18"/>
              </w:rPr>
              <w:t>No Sweat® is engineered to reduce exterior condensation on cold drinkware—helping keep hands, desks, counters and cupholders drier.</w:t>
            </w:r>
          </w:p>
        </w:tc>
      </w:tr>
      <w:tr>
        <w:tc>
          <w:tcPr>
            <w:tcW w:type="dxa" w:w="5184"/>
            <w:vAlign w:val="center"/>
          </w:tcPr>
          <w:p>
            <w:r/>
            <w:r>
              <w:rPr>
                <w:b w:val="0"/>
                <w:sz w:val="18"/>
              </w:rPr>
              <w:t>Problem headline</w:t>
            </w:r>
          </w:p>
        </w:tc>
        <w:tc>
          <w:tcPr>
            <w:tcW w:type="dxa" w:w="5184"/>
            <w:vAlign w:val="center"/>
          </w:tcPr>
          <w:p>
            <w:r/>
            <w:r>
              <w:rPr>
                <w:b w:val="0"/>
                <w:sz w:val="18"/>
              </w:rPr>
              <w:t>YOUR DRINK SHOULD BE COLD. YOUR DESK SHOULDN’T BE WET.</w:t>
            </w:r>
          </w:p>
        </w:tc>
      </w:tr>
      <w:tr>
        <w:tc>
          <w:tcPr>
            <w:tcW w:type="dxa" w:w="5184"/>
            <w:vAlign w:val="center"/>
          </w:tcPr>
          <w:p>
            <w:r/>
            <w:r>
              <w:rPr>
                <w:b w:val="0"/>
                <w:sz w:val="18"/>
              </w:rPr>
              <w:t>Testing headline</w:t>
            </w:r>
          </w:p>
        </w:tc>
        <w:tc>
          <w:tcPr>
            <w:tcW w:type="dxa" w:w="5184"/>
            <w:vAlign w:val="center"/>
          </w:tcPr>
          <w:p>
            <w:r/>
            <w:r>
              <w:rPr>
                <w:b w:val="0"/>
                <w:sz w:val="18"/>
              </w:rPr>
              <w:t>DON’T TAKE OUR WORD FOR IT. WATCH THE TEST.</w:t>
            </w:r>
          </w:p>
        </w:tc>
      </w:tr>
      <w:tr>
        <w:tc>
          <w:tcPr>
            <w:tcW w:type="dxa" w:w="5184"/>
            <w:vAlign w:val="center"/>
          </w:tcPr>
          <w:p>
            <w:r/>
            <w:r>
              <w:rPr>
                <w:b w:val="0"/>
                <w:sz w:val="18"/>
              </w:rPr>
              <w:t>Science headline</w:t>
            </w:r>
          </w:p>
        </w:tc>
        <w:tc>
          <w:tcPr>
            <w:tcW w:type="dxa" w:w="5184"/>
            <w:vAlign w:val="center"/>
          </w:tcPr>
          <w:p>
            <w:r/>
            <w:r>
              <w:rPr>
                <w:b w:val="0"/>
                <w:sz w:val="18"/>
              </w:rPr>
              <w:t>CONDENSATION IS PHYSICS. SO IS THE SOLUTION.</w:t>
            </w:r>
          </w:p>
        </w:tc>
      </w:tr>
      <w:tr>
        <w:tc>
          <w:tcPr>
            <w:tcW w:type="dxa" w:w="5184"/>
            <w:vAlign w:val="center"/>
          </w:tcPr>
          <w:p>
            <w:r/>
            <w:r>
              <w:rPr>
                <w:b w:val="0"/>
                <w:sz w:val="18"/>
              </w:rPr>
              <w:t>Commercial headline</w:t>
            </w:r>
          </w:p>
        </w:tc>
        <w:tc>
          <w:tcPr>
            <w:tcW w:type="dxa" w:w="5184"/>
            <w:vAlign w:val="center"/>
          </w:tcPr>
          <w:p>
            <w:r/>
            <w:r>
              <w:rPr>
                <w:b w:val="0"/>
                <w:sz w:val="18"/>
              </w:rPr>
              <w:t>BUILT FOR MORE THAN ONE CUP.</w:t>
            </w:r>
          </w:p>
        </w:tc>
      </w:tr>
      <w:tr>
        <w:tc>
          <w:tcPr>
            <w:tcW w:type="dxa" w:w="5184"/>
            <w:vAlign w:val="center"/>
          </w:tcPr>
          <w:p>
            <w:r/>
            <w:r>
              <w:rPr>
                <w:b w:val="0"/>
                <w:sz w:val="18"/>
              </w:rPr>
              <w:t>Final CTA</w:t>
            </w:r>
          </w:p>
        </w:tc>
        <w:tc>
          <w:tcPr>
            <w:tcW w:type="dxa" w:w="5184"/>
            <w:vAlign w:val="center"/>
          </w:tcPr>
          <w:p>
            <w:r/>
            <w:r>
              <w:rPr>
                <w:b w:val="0"/>
                <w:sz w:val="18"/>
              </w:rPr>
              <w:t>STOP LIVING WITH THE DRIP.</w:t>
            </w:r>
          </w:p>
        </w:tc>
      </w:tr>
    </w:tbl>
    <w:p>
      <w:pPr>
        <w:pStyle w:val="Heading1"/>
      </w:pPr>
      <w:r>
        <w:t>9. Testing Page Specification</w:t>
      </w:r>
    </w:p>
    <w:p>
      <w:r>
        <w:t>This page should become a major differentiator. Build it as a transparent product-development record rather than marketing theater.</w:t>
      </w:r>
    </w:p>
    <w:p>
      <w:pPr>
        <w:pStyle w:val="ListBullet"/>
        <w:spacing w:after="40"/>
      </w:pPr>
      <w:r>
        <w:t>Test card fields: test ID, date, cup material, surface preparation, formula revision, number of coats, cure time, ambient temperature, relative humidity, beverage temperature, duration, control result, treated result, photos/video, notes.</w:t>
      </w:r>
    </w:p>
    <w:p>
      <w:pPr>
        <w:pStyle w:val="ListBullet"/>
        <w:spacing w:after="40"/>
      </w:pPr>
      <w:r>
        <w:t>Show control and treated samples side-by-side whenever possible.</w:t>
      </w:r>
    </w:p>
    <w:p>
      <w:pPr>
        <w:pStyle w:val="ListBullet"/>
        <w:spacing w:after="40"/>
      </w:pPr>
      <w:r>
        <w:t>Allow status labels: Prototype / Development Test / Verified / Superseded.</w:t>
      </w:r>
    </w:p>
    <w:p>
      <w:pPr>
        <w:pStyle w:val="ListBullet"/>
        <w:spacing w:after="40"/>
      </w:pPr>
      <w:r>
        <w:t>Never delete failed tests from the internal CMS; public visibility is a separate toggle.</w:t>
      </w:r>
    </w:p>
    <w:p>
      <w:pPr>
        <w:pStyle w:val="ListBullet"/>
        <w:spacing w:after="40"/>
      </w:pPr>
      <w:r>
        <w:t>Future: charts for water mass collected, surface temperature and elapsed time once instrumentation is available.</w:t>
      </w:r>
    </w:p>
    <w:p>
      <w:pPr>
        <w:pStyle w:val="Heading1"/>
      </w:pPr>
      <w:r>
        <w:t>10. CMS / Admin Requirements</w:t>
      </w:r>
    </w:p>
    <w:p>
      <w:pPr>
        <w:pStyle w:val="ListBullet"/>
        <w:spacing w:after="40"/>
      </w:pPr>
      <w:r>
        <w:t>Editable hero copy, CTA labels, announcement bar and all claim language.</w:t>
      </w:r>
    </w:p>
    <w:p>
      <w:pPr>
        <w:pStyle w:val="ListBullet"/>
        <w:spacing w:after="40"/>
      </w:pPr>
      <w:r>
        <w:t>Product variants, pricing, SKUs, inventory, images and shipping data.</w:t>
      </w:r>
    </w:p>
    <w:p>
      <w:pPr>
        <w:pStyle w:val="ListBullet"/>
        <w:spacing w:after="40"/>
      </w:pPr>
      <w:r>
        <w:t>FAQ manager with ordering and publish toggle.</w:t>
      </w:r>
    </w:p>
    <w:p>
      <w:pPr>
        <w:pStyle w:val="ListBullet"/>
        <w:spacing w:after="40"/>
      </w:pPr>
      <w:r>
        <w:t>Testing database with structured fields listed above.</w:t>
      </w:r>
    </w:p>
    <w:p>
      <w:pPr>
        <w:pStyle w:val="ListBullet"/>
        <w:spacing w:after="40"/>
      </w:pPr>
      <w:r>
        <w:t>Download manager for SDS, directions and technical documents.</w:t>
      </w:r>
    </w:p>
    <w:p>
      <w:pPr>
        <w:pStyle w:val="ListBullet"/>
        <w:spacing w:after="40"/>
      </w:pPr>
      <w:r>
        <w:t>Commercial leads exportable to CSV and emailed to designated inbox.</w:t>
      </w:r>
    </w:p>
    <w:p>
      <w:pPr>
        <w:pStyle w:val="ListBullet"/>
        <w:spacing w:after="40"/>
      </w:pPr>
      <w:r>
        <w:t>Global feature flags for unverified claims and experimental application categories.</w:t>
      </w:r>
    </w:p>
    <w:p>
      <w:pPr>
        <w:pStyle w:val="Heading1"/>
      </w:pPr>
      <w:r>
        <w:t>11. Technical Architecture</w:t>
      </w:r>
    </w:p>
    <w:p>
      <w:pPr>
        <w:pStyle w:val="ListBullet"/>
        <w:spacing w:after="40"/>
      </w:pPr>
      <w:r>
        <w:t>Preferred frontend: Next.js + TypeScript + Tailwind CSS (or equivalent modern SSR/SSG stack).</w:t>
      </w:r>
    </w:p>
    <w:p>
      <w:pPr>
        <w:pStyle w:val="ListBullet"/>
        <w:spacing w:after="40"/>
      </w:pPr>
      <w:r>
        <w:t>Hosting preference: AWS. Recommended: Amplify Hosting or S3/CloudFront depending on app architecture; Route 53 + ACM for DNS/TLS.</w:t>
      </w:r>
    </w:p>
    <w:p>
      <w:pPr>
        <w:pStyle w:val="ListBullet"/>
        <w:spacing w:after="40"/>
      </w:pPr>
      <w:r>
        <w:t>Commerce: Stripe Checkout/Payment Element for lean custom commerce, or Shopify headless if inventory/order management needs justify it.</w:t>
      </w:r>
    </w:p>
    <w:p>
      <w:pPr>
        <w:pStyle w:val="ListBullet"/>
        <w:spacing w:after="40"/>
      </w:pPr>
      <w:r>
        <w:t>Forms: server-side validation + bot protection; AWS SES for transactional notifications.</w:t>
      </w:r>
    </w:p>
    <w:p>
      <w:pPr>
        <w:pStyle w:val="ListBullet"/>
        <w:spacing w:after="40"/>
      </w:pPr>
      <w:r>
        <w:t>Images: AVIF/WebP responsive srcset; CDN; lazy load below fold.</w:t>
      </w:r>
    </w:p>
    <w:p>
      <w:pPr>
        <w:pStyle w:val="ListBullet"/>
        <w:spacing w:after="40"/>
      </w:pPr>
      <w:r>
        <w:t>Video: muted, playsinline, optimized WebM/MP4; poster image; no blocking hero payload.</w:t>
      </w:r>
    </w:p>
    <w:p>
      <w:pPr>
        <w:pStyle w:val="ListBullet"/>
        <w:spacing w:after="40"/>
      </w:pPr>
      <w:r>
        <w:t>Analytics: GA4 plus privacy-respecting event layer; track view_item, select_variant, add_to_cart, begin_checkout, purchase, commercial_lead, watch_test.</w:t>
      </w:r>
    </w:p>
    <w:p>
      <w:pPr>
        <w:pStyle w:val="ListBullet"/>
        <w:spacing w:after="40"/>
      </w:pPr>
      <w:r>
        <w:t>No Firebase dependency.</w:t>
      </w:r>
    </w:p>
    <w:p>
      <w:pPr>
        <w:pStyle w:val="ListBullet"/>
        <w:spacing w:after="40"/>
      </w:pPr>
      <w:r>
        <w:t>Environment-separated staging and production deployments; secrets only in server-side environment variables.</w:t>
      </w:r>
    </w:p>
    <w:p>
      <w:pPr>
        <w:pStyle w:val="Heading1"/>
      </w:pPr>
      <w:r>
        <w:t>12. Performance / Accessibility / SEO Acceptance Criteria</w:t>
      </w:r>
    </w:p>
    <w:p>
      <w:pPr>
        <w:pStyle w:val="ListBullet"/>
        <w:spacing w:after="40"/>
      </w:pPr>
      <w:r>
        <w:t>Core Web Vitals target: LCP ≤2.5s, INP ≤200ms, CLS ≤0.1 on representative mobile hardware/network.</w:t>
      </w:r>
    </w:p>
    <w:p>
      <w:pPr>
        <w:pStyle w:val="ListBullet"/>
        <w:spacing w:after="40"/>
      </w:pPr>
      <w:r>
        <w:t>WCAG 2.2 AA target: keyboard navigation, visible focus, semantic headings, form labels, contrast, alt text, reduced-motion support.</w:t>
      </w:r>
    </w:p>
    <w:p>
      <w:pPr>
        <w:pStyle w:val="ListBullet"/>
        <w:spacing w:after="40"/>
      </w:pPr>
      <w:r>
        <w:t>Unique title/meta description per page; canonical URLs; sitemap.xml; robots.txt.</w:t>
      </w:r>
    </w:p>
    <w:p>
      <w:pPr>
        <w:pStyle w:val="ListBullet"/>
        <w:spacing w:after="40"/>
      </w:pPr>
      <w:r>
        <w:t>Schema: Organization, Product, Offer, FAQPage where eligible, BreadcrumbList.</w:t>
      </w:r>
    </w:p>
    <w:p>
      <w:pPr>
        <w:pStyle w:val="ListBullet"/>
        <w:spacing w:after="40"/>
      </w:pPr>
      <w:r>
        <w:t>Open Graph/Twitter image per major page.</w:t>
      </w:r>
    </w:p>
    <w:p>
      <w:pPr>
        <w:pStyle w:val="ListBullet"/>
        <w:spacing w:after="40"/>
      </w:pPr>
      <w:r>
        <w:t>No text baked into critical marketing images where HTML text can be used instead.</w:t>
      </w:r>
    </w:p>
    <w:p>
      <w:pPr>
        <w:pStyle w:val="Heading1"/>
      </w:pPr>
      <w:r>
        <w:t>13. Asset Production List</w:t>
      </w:r>
    </w:p>
    <w:p>
      <w:pPr>
        <w:pStyle w:val="ListNumber"/>
        <w:spacing w:after="40"/>
      </w:pPr>
      <w:r>
        <w:t>Hero: treated vs untreated iced cup, cinematic 16:9 still + 6–10 second loop.</w:t>
      </w:r>
    </w:p>
    <w:p>
      <w:pPr>
        <w:pStyle w:val="ListNumber"/>
        <w:spacing w:after="40"/>
      </w:pPr>
      <w:r>
        <w:t>Problem: sweating cup making a visible puddle on a premium wood desk.</w:t>
      </w:r>
    </w:p>
    <w:p>
      <w:pPr>
        <w:pStyle w:val="ListNumber"/>
        <w:spacing w:after="40"/>
      </w:pPr>
      <w:r>
        <w:t>Product bottle: transparent-background front, 3/4, rear-label and grouped sizes.</w:t>
      </w:r>
    </w:p>
    <w:p>
      <w:pPr>
        <w:pStyle w:val="ListNumber"/>
        <w:spacing w:after="40"/>
      </w:pPr>
      <w:r>
        <w:t>Application: hand spraying exterior of clean cup.</w:t>
      </w:r>
    </w:p>
    <w:p>
      <w:pPr>
        <w:pStyle w:val="ListNumber"/>
        <w:spacing w:after="40"/>
      </w:pPr>
      <w:r>
        <w:t>Test sequence: matched control and treated cups at 0 / 10 / 20 / 30 minutes.</w:t>
      </w:r>
    </w:p>
    <w:p>
      <w:pPr>
        <w:pStyle w:val="ListNumber"/>
        <w:spacing w:after="40"/>
      </w:pPr>
      <w:r>
        <w:t>Macro: exterior surface detail under cold conditions.</w:t>
      </w:r>
    </w:p>
    <w:p>
      <w:pPr>
        <w:pStyle w:val="ListNumber"/>
        <w:spacing w:after="40"/>
      </w:pPr>
      <w:r>
        <w:t>Commercial: café/bar service environment.</w:t>
      </w:r>
    </w:p>
    <w:p>
      <w:pPr>
        <w:pStyle w:val="ListNumber"/>
        <w:spacing w:after="40"/>
      </w:pPr>
      <w:r>
        <w:t>Use cases: plastic cup, tumbler, glassware, stainless drinkware.</w:t>
      </w:r>
    </w:p>
    <w:p>
      <w:pPr>
        <w:pStyle w:val="ListNumber"/>
        <w:spacing w:after="40"/>
      </w:pPr>
      <w:r>
        <w:t>Technical illustration: cup wall / coating / ambient air / dew-point explanation.</w:t>
      </w:r>
    </w:p>
    <w:p>
      <w:pPr>
        <w:pStyle w:val="ListNumber"/>
        <w:spacing w:after="40"/>
      </w:pPr>
      <w:r>
        <w:t>Social/OG image: No Sweat bottle + cold cup + primary headline.</w:t>
      </w:r>
    </w:p>
    <w:p>
      <w:pPr>
        <w:pStyle w:val="Heading1"/>
      </w:pPr>
      <w:r>
        <w:t>14. What to Remove From the Old Site</w:t>
      </w:r>
    </w:p>
    <w:p>
      <w:pPr>
        <w:pStyle w:val="ListBullet"/>
        <w:spacing w:after="40"/>
      </w:pPr>
      <w:r>
        <w:t>Generic “Say goodbye to condensation!” hero treatment.</w:t>
      </w:r>
    </w:p>
    <w:p>
      <w:pPr>
        <w:pStyle w:val="ListBullet"/>
        <w:spacing w:after="40"/>
      </w:pPr>
      <w:r>
        <w:t>Any absolute statement that the current prototype has not demonstrated reliably.</w:t>
      </w:r>
    </w:p>
    <w:p>
      <w:pPr>
        <w:pStyle w:val="ListBullet"/>
        <w:spacing w:after="40"/>
      </w:pPr>
      <w:r>
        <w:t>“No Beads” as a technical step unless validated and still relevant to final mechanism.</w:t>
      </w:r>
    </w:p>
    <w:p>
      <w:pPr>
        <w:pStyle w:val="ListBullet"/>
        <w:spacing w:after="40"/>
      </w:pPr>
      <w:r>
        <w:t>Claims of non-toxic/food-safe/odor-free without final formulation documentation.</w:t>
      </w:r>
    </w:p>
    <w:p>
      <w:pPr>
        <w:pStyle w:val="ListBullet"/>
        <w:spacing w:after="40"/>
      </w:pPr>
      <w:r>
        <w:t>Generic use-case expansion to mirrors/windows unless those surfaces are separately tested.</w:t>
      </w:r>
    </w:p>
    <w:p>
      <w:pPr>
        <w:pStyle w:val="ListBullet"/>
        <w:spacing w:after="40"/>
      </w:pPr>
      <w:r>
        <w:t>Template-like science graphics and unsupported molecular language.</w:t>
      </w:r>
    </w:p>
    <w:p>
      <w:pPr>
        <w:pStyle w:val="ListBullet"/>
        <w:spacing w:after="40"/>
      </w:pPr>
      <w:r>
        <w:t>Any British spelling or inconsistent voice if targeting the U.S. market (e.g., standardize to “odor”).</w:t>
      </w:r>
    </w:p>
    <w:p>
      <w:pPr>
        <w:pStyle w:val="Heading1"/>
      </w:pPr>
      <w:r>
        <w:t>15. Developer Definition of Done</w:t>
      </w:r>
    </w:p>
    <w:p>
      <w:pPr>
        <w:pStyle w:val="ListBullet"/>
        <w:spacing w:after="40"/>
      </w:pPr>
      <w:r>
        <w:t>Pixel-consistent responsive build at 390px, 768px, 1024px, 1440px and large desktop.</w:t>
      </w:r>
    </w:p>
    <w:p>
      <w:pPr>
        <w:pStyle w:val="ListBullet"/>
        <w:spacing w:after="40"/>
      </w:pPr>
      <w:r>
        <w:t>All navigation, cart, checkout, forms, FAQ accordions, test media and downloads function on staging.</w:t>
      </w:r>
    </w:p>
    <w:p>
      <w:pPr>
        <w:pStyle w:val="ListBullet"/>
        <w:spacing w:after="40"/>
      </w:pPr>
      <w:r>
        <w:t>All content editable without code changes where specified.</w:t>
      </w:r>
    </w:p>
    <w:p>
      <w:pPr>
        <w:pStyle w:val="ListBullet"/>
        <w:spacing w:after="40"/>
      </w:pPr>
      <w:r>
        <w:t>No placeholder text, dead links, fake reviews or fabricated test results.</w:t>
      </w:r>
    </w:p>
    <w:p>
      <w:pPr>
        <w:pStyle w:val="ListBullet"/>
        <w:spacing w:after="40"/>
      </w:pPr>
      <w:r>
        <w:t>Performance and accessibility checks completed before production.</w:t>
      </w:r>
    </w:p>
    <w:p>
      <w:pPr>
        <w:pStyle w:val="ListBullet"/>
        <w:spacing w:after="40"/>
      </w:pPr>
      <w:r>
        <w:t>Commerce test transaction completed end-to-end.</w:t>
      </w:r>
    </w:p>
    <w:p>
      <w:pPr>
        <w:pStyle w:val="ListBullet"/>
        <w:spacing w:after="40"/>
      </w:pPr>
      <w:r>
        <w:t>Production analytics events verified.</w:t>
      </w:r>
    </w:p>
    <w:p>
      <w:pPr>
        <w:pStyle w:val="ListBullet"/>
        <w:spacing w:after="40"/>
      </w:pPr>
      <w:r>
        <w:t>Legal/safety/performance claims receive final owner approval before go-live.</w:t>
      </w:r>
    </w:p>
    <w:p>
      <w:pPr>
        <w:pStyle w:val="Heading1"/>
      </w:pPr>
      <w:r>
        <w:t>16. Immediate Build Priority</w:t>
      </w:r>
    </w:p>
    <w:p>
      <w:r>
        <w:t>Phase 1 should deliver the homepage, PDP/cart, Testing page, Commercial page, FAQ, Safety/SDS and policy pages. Do not delay launch for elaborate 3D effects. The visual impact should come from excellent photography/video, typography, spacing, comparison interactions and real test evidence.</w:t>
      </w:r>
    </w:p>
    <w:p>
      <w:pPr>
        <w:pStyle w:val="Heading1"/>
      </w:pPr>
      <w:r>
        <w:t>17. Existing Site Reference</w:t>
      </w:r>
    </w:p>
    <w:p>
      <w:r>
        <w:t>Current site reviewed for this redesign: nosweatseal.com. Treat it as legacy reference only; do not preserve its layout or claims by default.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 Sweat® • Website Redesign Master Build Specification • Confidential Development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