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200" w:line="252" w:lineRule="auto"/>
      </w:pPr>
      <w:r>
        <w:rPr>
          <w:rFonts w:ascii="Montserrat" w:hAnsi="Montserrat"/>
          <w:b/>
          <w:i w:val="0"/>
          <w:color w:val="0A0A0A"/>
          <w:sz w:val="36"/>
        </w:rPr>
        <w:t>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161D"/>
            <w:tcBorders>
              <w:top w:val="single" w:sz="12" w:space="0" w:color="2F5597"/>
              <w:left w:val="single" w:sz="12" w:space="0" w:color="2F5597"/>
              <w:bottom w:val="single" w:sz="12" w:space="0" w:color="2F5597"/>
              <w:right w:val="single" w:sz="12" w:space="0" w:color="2F5597"/>
            </w:tcBorders>
            <w:tcMar>
              <w:top w:w="190" w:type="dxa"/>
              <w:start w:w="220" w:type="dxa"/>
              <w:bottom w:w="190" w:type="dxa"/>
              <w:end w:w="220" w:type="dxa"/>
            </w:tcMar>
          </w:tcPr>
          <w:p/>
          <w:p>
            <w:pPr>
              <w:spacing w:before="0" w:after="8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8"/>
              </w:rPr>
              <w:t>Recommendation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/>
                <w:b w:val="0"/>
                <w:i w:val="0"/>
                <w:color w:val="F5F7FB"/>
                <w:sz w:val="23"/>
              </w:rPr>
              <w:t>Run a focused AI-era growth engagement that clarifies the market story, builds a reusable proof system, and turns both into practical pipeline motion.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242A"/>
          <w:sz w:val="21"/>
        </w:rPr>
        <w:t>Technical B2B buyers do not need more generic content or louder campaigns. They need a clear explanation of why the problem matters now, credible proof that survives internal scrutiny, and a low-risk next step that helps the buying group move.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242A"/>
          <w:sz w:val="21"/>
        </w:rPr>
        <w:t>This proposal gives [Client Name] a working system for those three jobs: sharpen the story, organize the proof, and activate the market with assets and operating rhythms the team can actually maintain.</w:t>
      </w:r>
    </w:p>
    <w:p>
      <w:pPr>
        <w:spacing w:before="280" w:after="200" w:line="252" w:lineRule="auto"/>
      </w:pPr>
      <w:r>
        <w:rPr>
          <w:rFonts w:ascii="Montserrat" w:hAnsi="Montserrat"/>
          <w:b/>
          <w:i w:val="0"/>
          <w:color w:val="0A0A0A"/>
          <w:sz w:val="36"/>
        </w:rPr>
        <w:t>The likely growth problem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The product may be technically strong, but the first-screen story asks buyers to infer too much.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Proof exists in scattered places but is not mapped to claims, objections, buying stages, or use cases.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Marketing activity may be happening without a tight path from narrative to evidence to offer to pipeline.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AI-mediated discovery makes vague positioning easier to compress into generic summaries.</w:t>
      </w:r>
    </w:p>
    <w:p>
      <w:pPr>
        <w:spacing w:before="280" w:after="200" w:line="252" w:lineRule="auto"/>
      </w:pPr>
      <w:r>
        <w:rPr>
          <w:rFonts w:ascii="Montserrat" w:hAnsi="Montserrat"/>
          <w:b/>
          <w:i w:val="0"/>
          <w:color w:val="0A0A0A"/>
          <w:sz w:val="36"/>
        </w:rPr>
        <w:t>Proposed approach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242A"/>
          <w:sz w:val="21"/>
        </w:rPr>
        <w:t>The engagement is built around three linked workstreams. Each one produces material the sales, marketing, founder, and executive teams can reuse rather than a one-time strategy artifact.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7"/>
              </w:rPr>
              <w:t>Workstream</w:t>
            </w:r>
          </w:p>
        </w:tc>
        <w:tc>
          <w:tcPr>
            <w:tcW w:type="dxa" w:w="3168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7"/>
              </w:rPr>
              <w:t>What changes</w:t>
            </w:r>
          </w:p>
        </w:tc>
        <w:tc>
          <w:tcPr>
            <w:tcW w:type="dxa" w:w="3168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7"/>
              </w:rPr>
              <w:t>Outputs</w:t>
            </w:r>
          </w:p>
        </w:tc>
      </w:tr>
      <w:tr>
        <w:tc>
          <w:tcPr>
            <w:tcW w:type="dxa" w:w="31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/>
          <w:p>
            <w:pPr>
              <w:spacing w:before="0" w:after="0" w:line="283" w:lineRule="auto"/>
            </w:pPr>
            <w:r>
              <w:rPr>
                <w:rFonts w:ascii="Aptos" w:hAnsi="Aptos"/>
                <w:b/>
                <w:i w:val="0"/>
                <w:color w:val="1E3D7A"/>
                <w:sz w:val="19"/>
              </w:rPr>
              <w:t>Positioning clarity</w:t>
            </w:r>
          </w:p>
        </w:tc>
        <w:tc>
          <w:tcPr>
            <w:tcW w:type="dxa" w:w="31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/>
          <w:p>
            <w:pPr>
              <w:spacing w:before="0" w:after="0" w:line="283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8"/>
              </w:rPr>
              <w:t>Translate a technical offer into a buyer situation, category frame, value claim, and defensible differentiation.</w:t>
            </w:r>
          </w:p>
        </w:tc>
        <w:tc>
          <w:tcPr>
            <w:tcW w:type="dxa" w:w="31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/>
          <w:p>
            <w:pPr>
              <w:spacing w:before="0" w:after="0" w:line="283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8"/>
              </w:rPr>
              <w:t>Messaging architecture; homepage hierarchy; objection map</w:t>
            </w:r>
          </w:p>
        </w:tc>
      </w:tr>
      <w:tr>
        <w:tc>
          <w:tcPr>
            <w:tcW w:type="dxa" w:w="31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/>
          <w:p>
            <w:pPr>
              <w:spacing w:before="0" w:after="0" w:line="283" w:lineRule="auto"/>
            </w:pPr>
            <w:r>
              <w:rPr>
                <w:rFonts w:ascii="Aptos" w:hAnsi="Aptos"/>
                <w:b/>
                <w:i w:val="0"/>
                <w:color w:val="1E3D7A"/>
                <w:sz w:val="19"/>
              </w:rPr>
              <w:t>Proof operations</w:t>
            </w:r>
          </w:p>
        </w:tc>
        <w:tc>
          <w:tcPr>
            <w:tcW w:type="dxa" w:w="31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/>
          <w:p>
            <w:pPr>
              <w:spacing w:before="0" w:after="0" w:line="283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8"/>
              </w:rPr>
              <w:t>Turn claims, customer evidence, implementation examples, and security posture into reusable credibility assets.</w:t>
            </w:r>
          </w:p>
        </w:tc>
        <w:tc>
          <w:tcPr>
            <w:tcW w:type="dxa" w:w="31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/>
          <w:p>
            <w:pPr>
              <w:spacing w:before="0" w:after="0" w:line="283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8"/>
              </w:rPr>
              <w:t>Proof inventory; proof matrix; trust-center plan</w:t>
            </w:r>
          </w:p>
        </w:tc>
      </w:tr>
      <w:tr>
        <w:tc>
          <w:tcPr>
            <w:tcW w:type="dxa" w:w="31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/>
          <w:p>
            <w:pPr>
              <w:spacing w:before="0" w:after="0" w:line="283" w:lineRule="auto"/>
            </w:pPr>
            <w:r>
              <w:rPr>
                <w:rFonts w:ascii="Aptos" w:hAnsi="Aptos"/>
                <w:b/>
                <w:i w:val="0"/>
                <w:color w:val="1E3D7A"/>
                <w:sz w:val="19"/>
              </w:rPr>
              <w:t>Pipeline motion</w:t>
            </w:r>
          </w:p>
        </w:tc>
        <w:tc>
          <w:tcPr>
            <w:tcW w:type="dxa" w:w="31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/>
          <w:p>
            <w:pPr>
              <w:spacing w:before="0" w:after="0" w:line="283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8"/>
              </w:rPr>
              <w:t>Convert the story and proof into campaigns, content, sales enablement, and practical operating rhythms.</w:t>
            </w:r>
          </w:p>
        </w:tc>
        <w:tc>
          <w:tcPr>
            <w:tcW w:type="dxa" w:w="31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/>
          <w:p>
            <w:pPr>
              <w:spacing w:before="0" w:after="0" w:line="283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8"/>
              </w:rPr>
              <w:t>Offer path; campaign plays; 30/60/90 execution roadmap</w:t>
            </w:r>
          </w:p>
        </w:tc>
      </w:tr>
    </w:tbl>
    <w:p>
      <w:pPr>
        <w:spacing w:before="280" w:after="200" w:line="252" w:lineRule="auto"/>
      </w:pPr>
      <w:r>
        <w:rPr>
          <w:rFonts w:ascii="Montserrat" w:hAnsi="Montserrat"/>
          <w:b/>
          <w:i w:val="0"/>
          <w:color w:val="0A0A0A"/>
          <w:sz w:val="36"/>
        </w:rPr>
        <w:t>Deliverables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Positioning architecture: buyer situation, category frame, differentiated claim, objection map, and homepage hierarchy.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Proof inventory: reusable credibility assets mapped by buyer, use case, buying stage, and claim.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Execution roadmap: prioritized campaign plays, offer paths, content themes, and 30/60/90 operating rhythm.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Decision-ready readout: concise executive summary with the tradeoffs, priorities, and next actions.</w:t>
      </w:r>
    </w:p>
    <w:p>
      <w:pPr>
        <w:spacing w:before="280" w:after="200" w:line="252" w:lineRule="auto"/>
      </w:pPr>
      <w:r>
        <w:rPr>
          <w:rFonts w:ascii="Montserrat" w:hAnsi="Montserrat"/>
          <w:b/>
          <w:i w:val="0"/>
          <w:color w:val="0A0A0A"/>
          <w:sz w:val="36"/>
        </w:rPr>
        <w:t>Working timeline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242A"/>
          <w:sz w:val="21"/>
        </w:rPr>
        <w:t>A six-week engagement is the default shape. The schedule can compress for a diagnostic-only sprint or expand for execution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7"/>
              </w:rPr>
              <w:t>Phase</w:t>
            </w:r>
          </w:p>
        </w:tc>
        <w:tc>
          <w:tcPr>
            <w:tcW w:type="dxa" w:w="2592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7"/>
              </w:rPr>
              <w:t>Focus</w:t>
            </w:r>
          </w:p>
        </w:tc>
        <w:tc>
          <w:tcPr>
            <w:tcW w:type="dxa" w:w="2592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7"/>
              </w:rPr>
              <w:t>Client input</w:t>
            </w:r>
          </w:p>
        </w:tc>
        <w:tc>
          <w:tcPr>
            <w:tcW w:type="dxa" w:w="2520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7"/>
              </w:rPr>
              <w:t>Deliverable</w:t>
            </w:r>
          </w:p>
        </w:tc>
      </w:tr>
      <w:tr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E3D7A"/>
                <w:sz w:val="17"/>
              </w:rPr>
              <w:t>Week 1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Context, audit, buyer reality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Access to current site, sales materials, analytics, customer notes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Diagnostic readout</w:t>
            </w:r>
          </w:p>
        </w:tc>
      </w:tr>
      <w:tr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E3D7A"/>
                <w:sz w:val="17"/>
              </w:rPr>
              <w:t>Weeks 2-3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Positioning and proof architecture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Two working sessions and stakeholder feedback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Messaging and proof map</w:t>
            </w:r>
          </w:p>
        </w:tc>
      </w:tr>
      <w:tr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E3D7A"/>
                <w:sz w:val="17"/>
              </w:rPr>
              <w:t>Weeks 4-5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Execution system and assets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Review of draft page/campaign/proof assets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Core deliverables</w:t>
            </w:r>
          </w:p>
        </w:tc>
      </w:tr>
      <w:tr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1E3D7A"/>
                <w:sz w:val="17"/>
              </w:rPr>
              <w:t>Week 6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Operating plan and handoff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Decision on priority plays and owner model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30/60/90 roadmap</w:t>
            </w:r>
          </w:p>
        </w:tc>
      </w:tr>
    </w:tbl>
    <w:p>
      <w:pPr>
        <w:spacing w:before="280" w:after="200" w:line="252" w:lineRule="auto"/>
      </w:pPr>
      <w:r>
        <w:rPr>
          <w:rFonts w:ascii="Montserrat" w:hAnsi="Montserrat"/>
          <w:b/>
          <w:i w:val="0"/>
          <w:color w:val="0A0A0A"/>
          <w:sz w:val="36"/>
        </w:rPr>
        <w:t>Commercial paths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20242A"/>
          <w:sz w:val="21"/>
        </w:rPr>
        <w:t>These options mirror the current Carney offer structure and can be adjusted once the client context is known.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6"/>
              </w:rPr>
              <w:t>Option</w:t>
            </w:r>
          </w:p>
        </w:tc>
        <w:tc>
          <w:tcPr>
            <w:tcW w:type="dxa" w:w="2376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6"/>
              </w:rPr>
              <w:t>Best fit</w:t>
            </w:r>
          </w:p>
        </w:tc>
        <w:tc>
          <w:tcPr>
            <w:tcW w:type="dxa" w:w="2376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6"/>
              </w:rPr>
              <w:t>Primary outputs</w:t>
            </w:r>
          </w:p>
        </w:tc>
        <w:tc>
          <w:tcPr>
            <w:tcW w:type="dxa" w:w="2376"/>
            <w:shd w:fill="11161D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spacing w:before="0" w:after="0" w:line="276" w:lineRule="auto"/>
            </w:pPr>
            <w:r>
              <w:rPr>
                <w:rFonts w:ascii="Montserrat" w:hAnsi="Montserrat"/>
                <w:b/>
                <w:i w:val="0"/>
                <w:color w:val="AFC8E8"/>
                <w:sz w:val="16"/>
              </w:rPr>
              <w:t>Commercial</w:t>
            </w:r>
          </w:p>
        </w:tc>
      </w:tr>
      <w:tr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E3D7A"/>
                <w:sz w:val="17"/>
              </w:rPr>
              <w:t>Positioning + Pipeline Audit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Fast diagnosis before bigger investment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Teardown, gap map, priority fixes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$5K fixed fee</w:t>
            </w:r>
          </w:p>
        </w:tc>
      </w:tr>
      <w:tr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E3D7A"/>
                <w:sz w:val="17"/>
              </w:rPr>
              <w:t>Proof Ops Sprint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Technical company with claims buyers cannot verify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Proof matrix, library, placement plan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$10K-$20K</w:t>
            </w:r>
          </w:p>
        </w:tc>
      </w:tr>
      <w:tr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E3D7A"/>
                <w:sz w:val="17"/>
              </w:rPr>
              <w:t>Founder Content Engine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Founder-led growth and recurring proof production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Monthly POV, proof asset, site/message improvement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$5K/month</w:t>
            </w:r>
          </w:p>
        </w:tc>
      </w:tr>
      <w:tr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E3D7A"/>
                <w:sz w:val="17"/>
              </w:rPr>
              <w:t>Custom Growth System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Broader GTM reset or board-level initiative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Scoped after diagnostic</w:t>
            </w:r>
          </w:p>
        </w:tc>
        <w:tc>
          <w:tcPr>
            <w:tcW w:type="dxa" w:w="234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/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20242A"/>
                <w:sz w:val="17"/>
              </w:rPr>
              <w:t>TBD</w:t>
            </w:r>
          </w:p>
        </w:tc>
      </w:tr>
    </w:tbl>
    <w:p>
      <w:pPr>
        <w:spacing w:before="280" w:after="200" w:line="252" w:lineRule="auto"/>
      </w:pPr>
      <w:r>
        <w:rPr>
          <w:rFonts w:ascii="Montserrat" w:hAnsi="Montserrat"/>
          <w:b/>
          <w:i w:val="0"/>
          <w:color w:val="0A0A0A"/>
          <w:sz w:val="36"/>
        </w:rPr>
        <w:t>Operating model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Weekly working session with one accountable client owner.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Async review cycles for drafts, examples, and asset decisions.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Source material access: website, sales deck, analytics, CRM snapshots, customer proof, and current content.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Bias toward practical artifacts over abstract recommendations.</w:t>
      </w:r>
    </w:p>
    <w:p>
      <w:pPr>
        <w:spacing w:before="280" w:after="200" w:line="252" w:lineRule="auto"/>
      </w:pPr>
      <w:r>
        <w:rPr>
          <w:rFonts w:ascii="Montserrat" w:hAnsi="Montserrat"/>
          <w:b/>
          <w:i w:val="0"/>
          <w:color w:val="0A0A0A"/>
          <w:sz w:val="36"/>
        </w:rPr>
        <w:t>Next steps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Confirm the client owner, decision date, and commercial option.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Share current site, sales, customer, and performance materials.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Schedule kickoff and first diagnostic readout.</w:t>
      </w:r>
    </w:p>
    <w:p>
      <w:pPr>
        <w:pStyle w:val="ListBullet"/>
        <w:spacing w:before="0" w:after="80" w:line="276" w:lineRule="auto"/>
        <w:ind w:left="403" w:hanging="230"/>
      </w:pPr>
      <w:r>
        <w:rPr>
          <w:rFonts w:ascii="Aptos" w:hAnsi="Aptos"/>
          <w:b w:val="0"/>
          <w:i w:val="0"/>
          <w:color w:val="20242A"/>
          <w:sz w:val="21"/>
        </w:rPr>
        <w:t>Finalize scope, timeline, and payment terms in the statement of work.</w:t>
      </w:r>
    </w:p>
    <w:p>
      <w:pPr>
        <w:spacing w:before="280" w:after="0" w:line="276" w:lineRule="auto"/>
      </w:pPr>
      <w:r>
        <w:rPr>
          <w:rFonts w:ascii="Montserrat" w:hAnsi="Montserrat"/>
          <w:b/>
          <w:i w:val="0"/>
          <w:color w:val="1E3D7A"/>
          <w:sz w:val="18"/>
        </w:rPr>
        <w:t>carney.wiki | Strategy. Clarity. Results.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